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3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10683"/>
      </w:tblGrid>
      <w:tr w:rsidR="007B4F6C" w:rsidRPr="0022474E" w:rsidTr="007B4F6C">
        <w:trPr>
          <w:jc w:val="center"/>
        </w:trPr>
        <w:tc>
          <w:tcPr>
            <w:tcW w:w="10683" w:type="dxa"/>
          </w:tcPr>
          <w:p w:rsidR="007B4F6C" w:rsidRPr="0022474E" w:rsidRDefault="007B4F6C" w:rsidP="007B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образования Тверской области</w:t>
            </w:r>
          </w:p>
          <w:p w:rsidR="007B4F6C" w:rsidRPr="0022474E" w:rsidRDefault="007B4F6C" w:rsidP="007B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городского округа Тверской области</w:t>
            </w:r>
          </w:p>
          <w:p w:rsidR="007B4F6C" w:rsidRPr="007B4F6C" w:rsidRDefault="007B4F6C" w:rsidP="007B4F6C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</w:rPr>
            </w:pPr>
            <w:r w:rsidRPr="007B4F6C">
              <w:rPr>
                <w:rFonts w:ascii="Times New Roman" w:hAnsi="Times New Roman" w:cs="Times New Roman"/>
                <w:i/>
                <w:iCs/>
                <w:color w:val="auto"/>
                <w:sz w:val="20"/>
              </w:rPr>
              <w:t xml:space="preserve">Муниципальное бюджетное общеобразовательное учреждение </w:t>
            </w:r>
            <w:r w:rsidRPr="007B4F6C">
              <w:rPr>
                <w:rFonts w:ascii="Times New Roman" w:hAnsi="Times New Roman" w:cs="Times New Roman"/>
                <w:bCs w:val="0"/>
                <w:i/>
                <w:color w:val="auto"/>
                <w:sz w:val="20"/>
              </w:rPr>
              <w:t>гимназия №2</w:t>
            </w:r>
          </w:p>
          <w:p w:rsidR="007B4F6C" w:rsidRPr="0022474E" w:rsidRDefault="007B4F6C" w:rsidP="007B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172521, Тверская область, </w:t>
            </w:r>
            <w:proofErr w:type="gram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Нелидово, ул. Мира, д. 18.</w:t>
            </w:r>
          </w:p>
          <w:p w:rsidR="007B4F6C" w:rsidRPr="0022474E" w:rsidRDefault="007B4F6C" w:rsidP="007B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Тел/факс: 8 (48266) 5-22-80; 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7B4F6C" w:rsidRPr="0022474E" w:rsidRDefault="007B4F6C" w:rsidP="007B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1026901777209;ИНН 6912006040; </w:t>
            </w: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>КПП: 691201001; БИК 012809106; ОКПО 40745916</w:t>
            </w:r>
          </w:p>
          <w:p w:rsidR="007B4F6C" w:rsidRPr="0022474E" w:rsidRDefault="007B4F6C" w:rsidP="007B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Единый казначейский счёт </w:t>
            </w:r>
            <w:r w:rsidRPr="0022474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401 028 105 453 700000 29; </w:t>
            </w: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Казначейский счёт: </w:t>
            </w:r>
            <w:r w:rsidRPr="0022474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032 346 432 875 9000 3600</w:t>
            </w:r>
          </w:p>
          <w:p w:rsidR="007B4F6C" w:rsidRPr="0022474E" w:rsidRDefault="007B4F6C" w:rsidP="007B4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ОТДЕЛЕНИЕ ТВЕРЬ БАНКА РОССИИ//УФК по Тверской области </w:t>
            </w:r>
            <w:proofErr w:type="gramStart"/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22474E">
              <w:rPr>
                <w:rFonts w:ascii="Times New Roman" w:hAnsi="Times New Roman" w:cs="Times New Roman"/>
                <w:b/>
                <w:sz w:val="20"/>
                <w:szCs w:val="20"/>
              </w:rPr>
              <w:t>. Тверь</w:t>
            </w:r>
          </w:p>
          <w:p w:rsidR="007B4F6C" w:rsidRPr="0022474E" w:rsidRDefault="007B4F6C" w:rsidP="007B4F6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7B4F6C" w:rsidRPr="00D63552" w:rsidRDefault="007B4F6C" w:rsidP="007B4F6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B4F6C" w:rsidRPr="00D63552" w:rsidRDefault="007B4F6C" w:rsidP="007B4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7B4F6C" w:rsidRPr="00D63552" w:rsidRDefault="007B4F6C" w:rsidP="007B4F6C">
      <w:pPr>
        <w:spacing w:after="0" w:line="240" w:lineRule="auto"/>
        <w:rPr>
          <w:rFonts w:ascii="Times New Roman" w:hAnsi="Times New Roman"/>
          <w:b/>
        </w:rPr>
      </w:pPr>
      <w:r w:rsidRPr="00D635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7B4F6C" w:rsidRPr="007B4F6C" w:rsidRDefault="007B4F6C" w:rsidP="007B4F6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A340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№ </w:t>
      </w:r>
      <w:r w:rsidR="00AF7E00" w:rsidRPr="004A3409">
        <w:rPr>
          <w:rFonts w:ascii="Times New Roman" w:hAnsi="Times New Roman"/>
          <w:b/>
          <w:sz w:val="28"/>
          <w:szCs w:val="28"/>
        </w:rPr>
        <w:t>1</w:t>
      </w:r>
      <w:r w:rsidR="00100278" w:rsidRPr="004A3409">
        <w:rPr>
          <w:rFonts w:ascii="Times New Roman" w:hAnsi="Times New Roman"/>
          <w:b/>
          <w:sz w:val="28"/>
          <w:szCs w:val="28"/>
        </w:rPr>
        <w:t>/60</w:t>
      </w:r>
      <w:r w:rsidRPr="007B4F6C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</w:t>
      </w:r>
      <w:r w:rsidRPr="007B4F6C">
        <w:rPr>
          <w:rFonts w:ascii="Times New Roman" w:hAnsi="Times New Roman"/>
          <w:b/>
          <w:sz w:val="28"/>
          <w:szCs w:val="28"/>
        </w:rPr>
        <w:t>от 01.09. 2021г.</w:t>
      </w:r>
      <w:r w:rsidRPr="007B4F6C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p w:rsidR="007B4F6C" w:rsidRPr="00B64600" w:rsidRDefault="007B4F6C" w:rsidP="007B4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Look w:val="04A0"/>
      </w:tblPr>
      <w:tblGrid>
        <w:gridCol w:w="4644"/>
        <w:gridCol w:w="4536"/>
      </w:tblGrid>
      <w:tr w:rsidR="007B4F6C" w:rsidRPr="00F52214" w:rsidTr="007B4F6C">
        <w:tc>
          <w:tcPr>
            <w:tcW w:w="4644" w:type="dxa"/>
          </w:tcPr>
          <w:p w:rsidR="007B4F6C" w:rsidRPr="00F52214" w:rsidRDefault="007B4F6C" w:rsidP="007B4F6C">
            <w:pPr>
              <w:widowControl w:val="0"/>
              <w:tabs>
                <w:tab w:val="left" w:pos="1698"/>
                <w:tab w:val="left" w:pos="5103"/>
              </w:tabs>
              <w:suppressAutoHyphens/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F6C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Положения о внутренней системе оценки качества образования </w:t>
            </w:r>
            <w:r w:rsidRPr="00F52214">
              <w:rPr>
                <w:rFonts w:ascii="Times New Roman" w:hAnsi="Times New Roman"/>
                <w:b/>
                <w:sz w:val="26"/>
                <w:szCs w:val="26"/>
              </w:rPr>
              <w:t>Гимназии №2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</w:tcPr>
          <w:p w:rsidR="007B4F6C" w:rsidRPr="00F52214" w:rsidRDefault="007B4F6C" w:rsidP="007B4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3453B" w:rsidRDefault="0053453B" w:rsidP="00625F7F">
      <w:pPr>
        <w:widowControl w:val="0"/>
        <w:tabs>
          <w:tab w:val="left" w:pos="1698"/>
        </w:tabs>
        <w:suppressAutoHyphens/>
        <w:autoSpaceDN w:val="0"/>
        <w:spacing w:after="0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625F7F" w:rsidRPr="00625F7F" w:rsidRDefault="00625F7F" w:rsidP="0053453B">
      <w:pPr>
        <w:widowControl w:val="0"/>
        <w:tabs>
          <w:tab w:val="left" w:pos="1698"/>
        </w:tabs>
        <w:suppressAutoHyphens/>
        <w:autoSpaceDN w:val="0"/>
        <w:spacing w:after="0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7B4F6C" w:rsidRDefault="00AA7B7C" w:rsidP="00AA7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7C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Российской Федерации» № 273-ФЗ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7B7C">
        <w:rPr>
          <w:rFonts w:ascii="Times New Roman" w:hAnsi="Times New Roman" w:cs="Times New Roman"/>
          <w:sz w:val="24"/>
          <w:szCs w:val="24"/>
        </w:rPr>
        <w:t xml:space="preserve">с учетом мнения педагогического совета </w:t>
      </w:r>
      <w:r w:rsidR="007B4F6C">
        <w:rPr>
          <w:rFonts w:ascii="Times New Roman" w:hAnsi="Times New Roman" w:cs="Times New Roman"/>
          <w:sz w:val="24"/>
          <w:szCs w:val="24"/>
        </w:rPr>
        <w:t xml:space="preserve">Гимназии №2 </w:t>
      </w:r>
      <w:r w:rsidRPr="00AA7B7C">
        <w:rPr>
          <w:rFonts w:ascii="Times New Roman" w:hAnsi="Times New Roman" w:cs="Times New Roman"/>
          <w:sz w:val="24"/>
          <w:szCs w:val="24"/>
        </w:rPr>
        <w:t>(протокол от 30.08.20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A7B7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AF7E00">
        <w:rPr>
          <w:rFonts w:ascii="Times New Roman" w:hAnsi="Times New Roman" w:cs="Times New Roman"/>
          <w:sz w:val="24"/>
          <w:szCs w:val="24"/>
        </w:rPr>
        <w:t>)</w:t>
      </w:r>
    </w:p>
    <w:p w:rsidR="002C1104" w:rsidRPr="002C1104" w:rsidRDefault="002C1104" w:rsidP="002C11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104" w:rsidRDefault="002C1104" w:rsidP="00AA7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B7C" w:rsidRPr="002C1104" w:rsidRDefault="0053453B" w:rsidP="002C1104">
      <w:pPr>
        <w:pStyle w:val="af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1104">
        <w:rPr>
          <w:rFonts w:ascii="Times New Roman" w:hAnsi="Times New Roman" w:cs="Times New Roman"/>
          <w:sz w:val="24"/>
          <w:szCs w:val="24"/>
        </w:rPr>
        <w:t xml:space="preserve">Утвердить Положение о </w:t>
      </w:r>
      <w:r w:rsidR="002C1104">
        <w:rPr>
          <w:rFonts w:ascii="Times New Roman" w:hAnsi="Times New Roman" w:cs="Times New Roman"/>
          <w:sz w:val="24"/>
          <w:szCs w:val="24"/>
        </w:rPr>
        <w:t>внутренне</w:t>
      </w:r>
      <w:r w:rsidRPr="002C1104">
        <w:rPr>
          <w:rFonts w:ascii="Times New Roman" w:hAnsi="Times New Roman" w:cs="Times New Roman"/>
          <w:sz w:val="24"/>
          <w:szCs w:val="24"/>
        </w:rPr>
        <w:t xml:space="preserve">й системе </w:t>
      </w:r>
      <w:proofErr w:type="gramStart"/>
      <w:r w:rsidRPr="002C1104">
        <w:rPr>
          <w:rFonts w:ascii="Times New Roman" w:hAnsi="Times New Roman" w:cs="Times New Roman"/>
          <w:sz w:val="24"/>
          <w:szCs w:val="24"/>
        </w:rPr>
        <w:t xml:space="preserve">оценки качества образования </w:t>
      </w:r>
      <w:r w:rsidR="002C1104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гимназии</w:t>
      </w:r>
      <w:proofErr w:type="gramEnd"/>
      <w:r w:rsidR="002C1104">
        <w:rPr>
          <w:rFonts w:ascii="Times New Roman" w:hAnsi="Times New Roman" w:cs="Times New Roman"/>
          <w:sz w:val="24"/>
          <w:szCs w:val="24"/>
        </w:rPr>
        <w:t xml:space="preserve"> №2</w:t>
      </w:r>
      <w:r w:rsidRPr="002C1104">
        <w:rPr>
          <w:rFonts w:ascii="Times New Roman" w:hAnsi="Times New Roman" w:cs="Times New Roman"/>
          <w:sz w:val="24"/>
          <w:szCs w:val="24"/>
        </w:rPr>
        <w:t xml:space="preserve"> (Приложение 1). </w:t>
      </w:r>
    </w:p>
    <w:p w:rsidR="0053453B" w:rsidRPr="002C1104" w:rsidRDefault="002C1104" w:rsidP="002C1104">
      <w:pPr>
        <w:pStyle w:val="af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Двойниковой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="00AA7B7C" w:rsidRPr="002C1104">
        <w:rPr>
          <w:rFonts w:ascii="Times New Roman" w:hAnsi="Times New Roman" w:cs="Times New Roman"/>
          <w:sz w:val="24"/>
          <w:szCs w:val="24"/>
        </w:rPr>
        <w:t>,</w:t>
      </w:r>
      <w:r w:rsidR="0053453B" w:rsidRPr="002C1104">
        <w:rPr>
          <w:rFonts w:ascii="Times New Roman" w:hAnsi="Times New Roman" w:cs="Times New Roman"/>
          <w:sz w:val="24"/>
          <w:szCs w:val="24"/>
        </w:rPr>
        <w:t xml:space="preserve"> </w:t>
      </w:r>
      <w:r w:rsidR="00AF7E00">
        <w:rPr>
          <w:rFonts w:ascii="Times New Roman" w:hAnsi="Times New Roman" w:cs="Times New Roman"/>
          <w:sz w:val="24"/>
          <w:szCs w:val="24"/>
        </w:rPr>
        <w:t xml:space="preserve">заместителю директора по ИОП, </w:t>
      </w:r>
      <w:proofErr w:type="gramStart"/>
      <w:r w:rsidR="0053453B" w:rsidRPr="002C110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53453B" w:rsidRPr="002C1104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сайте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="0053453B" w:rsidRPr="002C1104">
        <w:rPr>
          <w:rFonts w:ascii="Times New Roman" w:hAnsi="Times New Roman" w:cs="Times New Roman"/>
          <w:sz w:val="24"/>
          <w:szCs w:val="24"/>
        </w:rPr>
        <w:t xml:space="preserve"> </w:t>
      </w:r>
      <w:r w:rsidR="00140363" w:rsidRPr="002C1104">
        <w:rPr>
          <w:rFonts w:ascii="Times New Roman" w:hAnsi="Times New Roman" w:cs="Times New Roman"/>
          <w:sz w:val="24"/>
          <w:szCs w:val="24"/>
        </w:rPr>
        <w:t xml:space="preserve">в течение 3 дней </w:t>
      </w:r>
      <w:r w:rsidR="0053453B" w:rsidRPr="002C1104">
        <w:rPr>
          <w:rFonts w:ascii="Times New Roman" w:hAnsi="Times New Roman" w:cs="Times New Roman"/>
          <w:sz w:val="24"/>
          <w:szCs w:val="24"/>
        </w:rPr>
        <w:t>с момента его подписания.</w:t>
      </w:r>
    </w:p>
    <w:p w:rsidR="0053453B" w:rsidRPr="002C1104" w:rsidRDefault="0053453B" w:rsidP="002C1104">
      <w:pPr>
        <w:pStyle w:val="af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1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104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625F7F" w:rsidRPr="00625F7F" w:rsidRDefault="00625F7F" w:rsidP="005345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F7F" w:rsidRPr="00625F7F" w:rsidRDefault="002C1104" w:rsidP="002C1104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Директор Гимназии №2                                  Я.М. Стулова</w:t>
      </w:r>
    </w:p>
    <w:p w:rsidR="00625F7F" w:rsidRDefault="00625F7F">
      <w:pPr>
        <w:rPr>
          <w:rFonts w:ascii="Times New Roman" w:hAnsi="Times New Roman" w:cs="Times New Roman"/>
          <w:sz w:val="24"/>
          <w:szCs w:val="24"/>
        </w:rPr>
      </w:pPr>
    </w:p>
    <w:p w:rsidR="00625F7F" w:rsidRDefault="00625F7F">
      <w:pPr>
        <w:rPr>
          <w:rFonts w:ascii="Times New Roman" w:hAnsi="Times New Roman" w:cs="Times New Roman"/>
          <w:sz w:val="24"/>
          <w:szCs w:val="24"/>
        </w:rPr>
      </w:pPr>
    </w:p>
    <w:p w:rsidR="00625F7F" w:rsidRDefault="00625F7F">
      <w:pPr>
        <w:rPr>
          <w:rFonts w:ascii="Times New Roman" w:hAnsi="Times New Roman" w:cs="Times New Roman"/>
          <w:sz w:val="24"/>
          <w:szCs w:val="24"/>
        </w:rPr>
      </w:pPr>
    </w:p>
    <w:p w:rsidR="00625F7F" w:rsidRDefault="00625F7F">
      <w:pPr>
        <w:rPr>
          <w:rFonts w:ascii="Times New Roman" w:hAnsi="Times New Roman" w:cs="Times New Roman"/>
          <w:sz w:val="24"/>
          <w:szCs w:val="24"/>
        </w:rPr>
      </w:pPr>
    </w:p>
    <w:p w:rsidR="00625F7F" w:rsidRDefault="00625F7F">
      <w:pPr>
        <w:rPr>
          <w:rFonts w:ascii="Times New Roman" w:hAnsi="Times New Roman" w:cs="Times New Roman"/>
          <w:sz w:val="24"/>
          <w:szCs w:val="24"/>
        </w:rPr>
      </w:pPr>
    </w:p>
    <w:p w:rsidR="00625F7F" w:rsidRDefault="00625F7F">
      <w:pPr>
        <w:rPr>
          <w:rFonts w:ascii="Times New Roman" w:hAnsi="Times New Roman" w:cs="Times New Roman"/>
          <w:sz w:val="24"/>
          <w:szCs w:val="24"/>
        </w:rPr>
      </w:pPr>
    </w:p>
    <w:p w:rsidR="003E26CA" w:rsidRDefault="003E26CA">
      <w:pPr>
        <w:rPr>
          <w:rFonts w:ascii="Times New Roman" w:hAnsi="Times New Roman" w:cs="Times New Roman"/>
          <w:sz w:val="24"/>
          <w:szCs w:val="24"/>
        </w:rPr>
      </w:pPr>
    </w:p>
    <w:p w:rsidR="00AF7E00" w:rsidRDefault="00AF7E00">
      <w:pPr>
        <w:rPr>
          <w:rFonts w:ascii="Times New Roman" w:hAnsi="Times New Roman" w:cs="Times New Roman"/>
          <w:sz w:val="24"/>
          <w:szCs w:val="24"/>
        </w:rPr>
      </w:pPr>
    </w:p>
    <w:p w:rsidR="00AF7E00" w:rsidRDefault="00AF7E00">
      <w:pPr>
        <w:rPr>
          <w:rFonts w:ascii="Times New Roman" w:hAnsi="Times New Roman" w:cs="Times New Roman"/>
          <w:sz w:val="24"/>
          <w:szCs w:val="24"/>
        </w:rPr>
      </w:pPr>
    </w:p>
    <w:p w:rsidR="003E26CA" w:rsidRDefault="003E26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31" w:type="dxa"/>
        <w:tblLook w:val="01E0"/>
      </w:tblPr>
      <w:tblGrid>
        <w:gridCol w:w="5279"/>
        <w:gridCol w:w="4252"/>
      </w:tblGrid>
      <w:tr w:rsidR="009E0671" w:rsidRPr="00CD5CE8" w:rsidTr="003E26CA">
        <w:tc>
          <w:tcPr>
            <w:tcW w:w="5279" w:type="dxa"/>
          </w:tcPr>
          <w:p w:rsidR="003E26CA" w:rsidRDefault="009E0671" w:rsidP="009E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РАССМОТРЕНО</w:t>
            </w:r>
          </w:p>
          <w:p w:rsidR="009E0671" w:rsidRPr="00CD5CE8" w:rsidRDefault="009E0671" w:rsidP="009E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педагогическом совете</w:t>
            </w:r>
          </w:p>
          <w:p w:rsidR="009E0671" w:rsidRPr="00CD5CE8" w:rsidRDefault="009E0671" w:rsidP="009E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0671" w:rsidRPr="000C0917" w:rsidRDefault="009E0671" w:rsidP="002C1104">
            <w:pPr>
              <w:spacing w:after="0" w:line="240" w:lineRule="auto"/>
              <w:ind w:left="-426"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8315F4"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 </w:t>
            </w:r>
            <w:r w:rsidR="002C1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83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ротокол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83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0C0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A331D0"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C0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2" w:type="dxa"/>
          </w:tcPr>
          <w:p w:rsidR="009E0671" w:rsidRPr="00CD5CE8" w:rsidRDefault="009E0671" w:rsidP="009E0671">
            <w:pPr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9E0671" w:rsidRPr="00CD5CE8" w:rsidRDefault="009E0671" w:rsidP="009E067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AF7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2C1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имназии 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2C1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9E0671" w:rsidRPr="00CD5CE8" w:rsidRDefault="009E0671" w:rsidP="009E0671">
            <w:pPr>
              <w:spacing w:after="0" w:line="240" w:lineRule="auto"/>
              <w:ind w:left="-426"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="00AF7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Я.М.Стулова</w:t>
            </w:r>
          </w:p>
          <w:p w:rsidR="009E0671" w:rsidRPr="00CD5CE8" w:rsidRDefault="009E0671" w:rsidP="002C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C1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0C0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C1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</w:t>
            </w:r>
            <w:r w:rsidR="00A331D0"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C0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B14BA3" w:rsidRPr="00CD5CE8" w:rsidRDefault="002C1104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625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М</w:t>
      </w:r>
      <w:r w:rsidR="00625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бюджетного </w:t>
      </w:r>
      <w:r w:rsidR="00625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общеобразовательного учреждения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гимназии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№2</w:t>
      </w: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F562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2C11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</w:t>
      </w:r>
      <w:r w:rsidR="00F5626A">
        <w:t xml:space="preserve"> </w:t>
      </w:r>
      <w:r w:rsidRPr="00CD5CE8">
        <w:t>Настоящее</w:t>
      </w:r>
      <w:r w:rsidR="00F5626A">
        <w:t xml:space="preserve"> </w:t>
      </w:r>
      <w:r w:rsidRPr="00CD5CE8">
        <w:t>Положение</w:t>
      </w:r>
      <w:r w:rsidR="00F5626A">
        <w:t xml:space="preserve"> </w:t>
      </w:r>
      <w:r w:rsidRPr="00CD5CE8">
        <w:t>о</w:t>
      </w:r>
      <w:r w:rsidR="00F5626A">
        <w:t xml:space="preserve"> </w:t>
      </w:r>
      <w:r w:rsidRPr="00CD5CE8">
        <w:t>внутренн</w:t>
      </w:r>
      <w:r w:rsidR="002C1104">
        <w:t>е</w:t>
      </w:r>
      <w:r w:rsidRPr="00CD5CE8">
        <w:t>й</w:t>
      </w:r>
      <w:r w:rsidR="00F5626A">
        <w:t xml:space="preserve"> </w:t>
      </w:r>
      <w:r w:rsidRPr="00CD5CE8">
        <w:t>системе</w:t>
      </w:r>
      <w:r w:rsidR="00F5626A">
        <w:t xml:space="preserve"> </w:t>
      </w:r>
      <w:r w:rsidRPr="00CD5CE8">
        <w:t>оценки</w:t>
      </w:r>
      <w:r w:rsidR="00F5626A">
        <w:t xml:space="preserve"> </w:t>
      </w:r>
      <w:r w:rsidRPr="00CD5CE8">
        <w:t>качества</w:t>
      </w:r>
      <w:r w:rsidR="00F5626A">
        <w:t xml:space="preserve"> </w:t>
      </w:r>
      <w:r w:rsidRPr="00CD5CE8">
        <w:t>образования</w:t>
      </w:r>
      <w:r w:rsidR="00F5626A">
        <w:t xml:space="preserve"> </w:t>
      </w:r>
      <w:r w:rsidRPr="00CD5CE8">
        <w:t>(далее</w:t>
      </w:r>
      <w:r w:rsidR="00F5626A">
        <w:t xml:space="preserve"> </w:t>
      </w:r>
      <w:proofErr w:type="gramStart"/>
      <w:r w:rsidRPr="00CD5CE8">
        <w:t>—П</w:t>
      </w:r>
      <w:proofErr w:type="gramEnd"/>
      <w:r w:rsidRPr="00CD5CE8">
        <w:t>оложение)</w:t>
      </w:r>
      <w:r w:rsidR="00F5626A">
        <w:t xml:space="preserve"> </w:t>
      </w:r>
      <w:r w:rsidRPr="00CD5CE8">
        <w:t>в</w:t>
      </w:r>
      <w:r w:rsidR="00F5626A">
        <w:t xml:space="preserve"> М</w:t>
      </w:r>
      <w:r w:rsidR="006821B1" w:rsidRPr="006821B1">
        <w:t xml:space="preserve">униципальном </w:t>
      </w:r>
      <w:r w:rsidR="00F5626A">
        <w:t xml:space="preserve">бюджетном </w:t>
      </w:r>
      <w:r w:rsidR="006821B1" w:rsidRPr="006821B1">
        <w:t xml:space="preserve">общеобразовательном учреждении </w:t>
      </w:r>
      <w:r w:rsidR="00F5626A">
        <w:t xml:space="preserve">гимназии №2 </w:t>
      </w:r>
      <w:r w:rsidRPr="00CD5CE8">
        <w:t>(далее</w:t>
      </w:r>
      <w:r w:rsidR="00F5626A">
        <w:t xml:space="preserve"> </w:t>
      </w:r>
      <w:r w:rsidR="00CB6938">
        <w:t>–</w:t>
      </w:r>
      <w:r w:rsidR="00F5626A">
        <w:t xml:space="preserve"> </w:t>
      </w:r>
      <w:r w:rsidR="00CB6938">
        <w:t>Гимназии №2</w:t>
      </w:r>
      <w:r w:rsidRPr="00CD5CE8">
        <w:t>)</w:t>
      </w:r>
      <w:r w:rsidR="004F24F0" w:rsidRPr="00CD5CE8">
        <w:t xml:space="preserve"> закрепляет и регулирует</w:t>
      </w:r>
      <w:r w:rsidRPr="00CD5CE8">
        <w:t>:</w:t>
      </w:r>
    </w:p>
    <w:p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F5626A">
        <w:t xml:space="preserve"> </w:t>
      </w:r>
      <w:r w:rsidR="00B14BA3" w:rsidRPr="00CD5CE8">
        <w:t>направления</w:t>
      </w:r>
      <w:r w:rsidRPr="00CD5CE8">
        <w:t>;</w:t>
      </w:r>
    </w:p>
    <w:p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F5626A">
        <w:t xml:space="preserve"> </w:t>
      </w:r>
      <w:r w:rsidRPr="00CD5CE8">
        <w:t>организации</w:t>
      </w:r>
      <w:r w:rsidR="00F5626A">
        <w:t xml:space="preserve"> </w:t>
      </w:r>
      <w:r w:rsidRPr="00CD5CE8">
        <w:t>и</w:t>
      </w:r>
      <w:r w:rsidR="00F5626A">
        <w:t xml:space="preserve"> </w:t>
      </w:r>
      <w:r w:rsidRPr="00CD5CE8">
        <w:t>проведения</w:t>
      </w:r>
      <w:r w:rsidR="00F5626A">
        <w:t xml:space="preserve"> </w:t>
      </w:r>
      <w:r w:rsidRPr="00CD5CE8">
        <w:t>контрольно-оценочных</w:t>
      </w:r>
      <w:r w:rsidR="00F5626A">
        <w:t xml:space="preserve"> </w:t>
      </w:r>
      <w:r w:rsidRPr="00CD5CE8">
        <w:t>процедур;</w:t>
      </w:r>
    </w:p>
    <w:p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направления и критерии мониторинга личностных и диагностики </w:t>
      </w:r>
      <w:proofErr w:type="spellStart"/>
      <w:r w:rsidRPr="00CD5CE8">
        <w:t>метапредметных</w:t>
      </w:r>
      <w:proofErr w:type="spellEnd"/>
      <w:r w:rsidRPr="00CD5CE8">
        <w:t xml:space="preserve"> образовательных результатов;</w:t>
      </w:r>
    </w:p>
    <w:p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состав </w:t>
      </w:r>
      <w:proofErr w:type="spellStart"/>
      <w:r w:rsidRPr="00CD5CE8">
        <w:t>внутришкольных</w:t>
      </w:r>
      <w:proofErr w:type="spellEnd"/>
      <w:r w:rsidRPr="00CD5CE8">
        <w:t xml:space="preserve"> мониторингов;</w:t>
      </w:r>
    </w:p>
    <w:p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структуру отчета по </w:t>
      </w:r>
      <w:proofErr w:type="spellStart"/>
      <w:r w:rsidRPr="00CD5CE8">
        <w:t>самообследованию</w:t>
      </w:r>
      <w:proofErr w:type="spellEnd"/>
      <w:r w:rsidR="00B14BA3" w:rsidRPr="00CD5CE8">
        <w:t>.</w:t>
      </w:r>
    </w:p>
    <w:p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B14BA3" w:rsidRPr="00CD5CE8" w:rsidRDefault="00F5626A" w:rsidP="009E0671">
      <w:pPr>
        <w:pStyle w:val="article"/>
        <w:spacing w:before="0" w:beforeAutospacing="0" w:after="0" w:afterAutospacing="0"/>
        <w:jc w:val="both"/>
      </w:pPr>
      <w:r>
        <w:t xml:space="preserve">1.3. </w:t>
      </w:r>
      <w:r w:rsidR="00B14BA3" w:rsidRPr="00CD5CE8">
        <w:t>Положение</w:t>
      </w:r>
      <w:r>
        <w:t xml:space="preserve"> </w:t>
      </w:r>
      <w:r w:rsidR="00B14BA3" w:rsidRPr="00CD5CE8">
        <w:t>выступает</w:t>
      </w:r>
      <w:r>
        <w:t xml:space="preserve"> </w:t>
      </w:r>
      <w:r w:rsidR="00B14BA3" w:rsidRPr="00CD5CE8">
        <w:t>основой</w:t>
      </w:r>
      <w:r>
        <w:t xml:space="preserve"> </w:t>
      </w:r>
      <w:r w:rsidR="00B14BA3" w:rsidRPr="00CD5CE8">
        <w:t>для</w:t>
      </w:r>
      <w:r>
        <w:t xml:space="preserve"> </w:t>
      </w:r>
      <w:r w:rsidR="00B14BA3" w:rsidRPr="00CD5CE8">
        <w:t>проектирования</w:t>
      </w:r>
      <w:r>
        <w:t xml:space="preserve"> </w:t>
      </w:r>
      <w:r w:rsidR="00B14BA3" w:rsidRPr="00CD5CE8">
        <w:t>систем</w:t>
      </w:r>
      <w:r>
        <w:t xml:space="preserve"> </w:t>
      </w:r>
      <w:r w:rsidR="00B14BA3" w:rsidRPr="00CD5CE8">
        <w:t>оценки</w:t>
      </w:r>
      <w:r>
        <w:t xml:space="preserve"> </w:t>
      </w:r>
      <w:r w:rsidR="00B14BA3" w:rsidRPr="00CD5CE8">
        <w:t>достижения</w:t>
      </w:r>
      <w:r>
        <w:t xml:space="preserve"> </w:t>
      </w:r>
      <w:r w:rsidR="00B14BA3" w:rsidRPr="00CD5CE8">
        <w:t>образовательных</w:t>
      </w:r>
      <w:r>
        <w:t xml:space="preserve"> </w:t>
      </w:r>
      <w:r w:rsidR="00B14BA3" w:rsidRPr="00CD5CE8">
        <w:t>результатов</w:t>
      </w:r>
      <w:r>
        <w:t xml:space="preserve"> </w:t>
      </w:r>
      <w:r w:rsidR="00B14BA3" w:rsidRPr="00CD5CE8">
        <w:t>обучающихся</w:t>
      </w:r>
      <w:r>
        <w:t xml:space="preserve"> </w:t>
      </w:r>
      <w:r w:rsidR="00B14BA3" w:rsidRPr="00CD5CE8">
        <w:t>в</w:t>
      </w:r>
      <w:r>
        <w:t xml:space="preserve"> </w:t>
      </w:r>
      <w:r w:rsidR="00B14BA3" w:rsidRPr="00CD5CE8">
        <w:t>рамках</w:t>
      </w:r>
      <w:r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>
        <w:t xml:space="preserve"> </w:t>
      </w:r>
      <w:r w:rsidR="00B14BA3" w:rsidRPr="00CD5CE8">
        <w:t>уровням.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F5626A">
        <w:t xml:space="preserve"> </w:t>
      </w:r>
      <w:r w:rsidRPr="00CD5CE8">
        <w:t>Положение</w:t>
      </w:r>
      <w:r w:rsidR="00F5626A">
        <w:t xml:space="preserve"> </w:t>
      </w:r>
      <w:r w:rsidRPr="00CD5CE8">
        <w:t>разработано</w:t>
      </w:r>
      <w:r w:rsidR="00F5626A">
        <w:t xml:space="preserve"> </w:t>
      </w:r>
      <w:r w:rsidRPr="00CD5CE8">
        <w:t>в</w:t>
      </w:r>
      <w:r w:rsidR="00F5626A">
        <w:t xml:space="preserve"> </w:t>
      </w:r>
      <w:r w:rsidRPr="00CD5CE8">
        <w:t>соответствии</w:t>
      </w:r>
      <w:r w:rsidR="00F5626A">
        <w:t xml:space="preserve"> </w:t>
      </w:r>
      <w:proofErr w:type="gramStart"/>
      <w:r w:rsidR="00F5626A">
        <w:t>с</w:t>
      </w:r>
      <w:proofErr w:type="gramEnd"/>
      <w:r w:rsidRPr="00CD5CE8">
        <w:t>: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стандартом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начального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НОО)</w:t>
      </w:r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8C7581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8C7581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06.10.2009</w:t>
      </w:r>
      <w:r w:rsidR="008C7581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373;</w:t>
      </w:r>
    </w:p>
    <w:p w:rsidR="00B14BA3" w:rsidRPr="00CD5CE8" w:rsidRDefault="004B4B74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основного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ООО)</w:t>
      </w:r>
      <w:r w:rsidR="00B14BA3" w:rsidRPr="00CD5CE8">
        <w:rPr>
          <w:rFonts w:ascii="Times New Roman" w:hAnsi="Times New Roman" w:cs="Times New Roman"/>
          <w:sz w:val="24"/>
          <w:szCs w:val="24"/>
        </w:rPr>
        <w:t>,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17.12.2010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1897;</w:t>
      </w:r>
    </w:p>
    <w:p w:rsidR="00B14BA3" w:rsidRPr="00CD5CE8" w:rsidRDefault="004B4B74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среднего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СОО)</w:t>
      </w:r>
      <w:r w:rsidR="00B14BA3" w:rsidRPr="00CD5CE8">
        <w:rPr>
          <w:rFonts w:ascii="Times New Roman" w:hAnsi="Times New Roman" w:cs="Times New Roman"/>
          <w:sz w:val="24"/>
          <w:szCs w:val="24"/>
        </w:rPr>
        <w:t>,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№1598; 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от 19.12.2014 №1599; 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F5626A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CB6938">
        <w:rPr>
          <w:rFonts w:ascii="Times New Roman" w:hAnsi="Times New Roman" w:cs="Times New Roman"/>
          <w:sz w:val="24"/>
          <w:szCs w:val="24"/>
        </w:rPr>
        <w:t xml:space="preserve"> у</w:t>
      </w:r>
      <w:r w:rsidRPr="00CD5CE8">
        <w:rPr>
          <w:rFonts w:ascii="Times New Roman" w:hAnsi="Times New Roman" w:cs="Times New Roman"/>
          <w:sz w:val="24"/>
          <w:szCs w:val="24"/>
        </w:rPr>
        <w:t>твержденными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№590,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Об утверждении Порядка применения организациями</w:t>
      </w:r>
      <w:r w:rsidR="00CB6938">
        <w:rPr>
          <w:rFonts w:ascii="Times New Roman" w:hAnsi="Times New Roman" w:cs="Times New Roman"/>
          <w:sz w:val="24"/>
          <w:szCs w:val="24"/>
        </w:rPr>
        <w:t>,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CB6938">
        <w:rPr>
          <w:rFonts w:ascii="Times New Roman" w:hAnsi="Times New Roman" w:cs="Times New Roman"/>
          <w:sz w:val="24"/>
          <w:szCs w:val="24"/>
        </w:rPr>
        <w:t xml:space="preserve"> Гимназии №2</w:t>
      </w:r>
      <w:r w:rsidR="00B14BA3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AF7E00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00">
        <w:rPr>
          <w:rFonts w:ascii="Times New Roman" w:hAnsi="Times New Roman" w:cs="Times New Roman"/>
          <w:sz w:val="24"/>
          <w:szCs w:val="24"/>
        </w:rPr>
        <w:t>Положением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о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формах,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периодичности,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порядке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текущего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контроля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и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промежуточной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аттестации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обучающихся</w:t>
      </w:r>
      <w:r w:rsidR="00E6753B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="00CB6938" w:rsidRPr="00AF7E00">
        <w:rPr>
          <w:rFonts w:ascii="Times New Roman" w:hAnsi="Times New Roman" w:cs="Times New Roman"/>
          <w:sz w:val="24"/>
          <w:szCs w:val="24"/>
        </w:rPr>
        <w:t>Гимназии №2</w:t>
      </w:r>
      <w:r w:rsidRPr="00AF7E00">
        <w:rPr>
          <w:rFonts w:ascii="Times New Roman" w:hAnsi="Times New Roman" w:cs="Times New Roman"/>
          <w:sz w:val="24"/>
          <w:szCs w:val="24"/>
        </w:rPr>
        <w:t>;</w:t>
      </w:r>
    </w:p>
    <w:p w:rsidR="00B14BA3" w:rsidRPr="00AF7E00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00">
        <w:rPr>
          <w:rFonts w:ascii="Times New Roman" w:hAnsi="Times New Roman" w:cs="Times New Roman"/>
          <w:sz w:val="24"/>
          <w:szCs w:val="24"/>
        </w:rPr>
        <w:t>Положением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об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индивидуальном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учете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освоения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7E0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образовательных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программ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и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поощрений</w:t>
      </w:r>
      <w:r w:rsidR="00CB6938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Pr="00AF7E00">
        <w:rPr>
          <w:rFonts w:ascii="Times New Roman" w:hAnsi="Times New Roman" w:cs="Times New Roman"/>
          <w:sz w:val="24"/>
          <w:szCs w:val="24"/>
        </w:rPr>
        <w:t>обучающихся</w:t>
      </w:r>
      <w:r w:rsidR="00E6753B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="00CB6938" w:rsidRPr="00AF7E00">
        <w:rPr>
          <w:rFonts w:ascii="Times New Roman" w:hAnsi="Times New Roman" w:cs="Times New Roman"/>
          <w:sz w:val="24"/>
          <w:szCs w:val="24"/>
        </w:rPr>
        <w:t>Гимназии №2</w:t>
      </w:r>
      <w:r w:rsidRPr="00AF7E00">
        <w:rPr>
          <w:rFonts w:ascii="Times New Roman" w:hAnsi="Times New Roman" w:cs="Times New Roman"/>
          <w:sz w:val="24"/>
          <w:szCs w:val="24"/>
        </w:rPr>
        <w:t>;</w:t>
      </w:r>
    </w:p>
    <w:p w:rsidR="009F3773" w:rsidRPr="00AF7E00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00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 w:rsidRPr="00AF7E00">
        <w:rPr>
          <w:rFonts w:ascii="Times New Roman" w:hAnsi="Times New Roman" w:cs="Times New Roman"/>
          <w:sz w:val="24"/>
          <w:szCs w:val="24"/>
        </w:rPr>
        <w:t xml:space="preserve"> </w:t>
      </w:r>
      <w:r w:rsidR="00CB6938" w:rsidRPr="00AF7E00">
        <w:rPr>
          <w:rFonts w:ascii="Times New Roman" w:hAnsi="Times New Roman" w:cs="Times New Roman"/>
          <w:sz w:val="24"/>
          <w:szCs w:val="24"/>
        </w:rPr>
        <w:t>Гимназии №2</w:t>
      </w:r>
      <w:r w:rsidR="0012086C" w:rsidRPr="00AF7E00">
        <w:rPr>
          <w:rFonts w:ascii="Times New Roman" w:hAnsi="Times New Roman" w:cs="Times New Roman"/>
          <w:sz w:val="24"/>
          <w:szCs w:val="24"/>
        </w:rPr>
        <w:t>;</w:t>
      </w:r>
    </w:p>
    <w:p w:rsidR="00B14BA3" w:rsidRPr="00AF7E00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00">
        <w:rPr>
          <w:rFonts w:ascii="Times New Roman" w:hAnsi="Times New Roman" w:cs="Times New Roman"/>
          <w:sz w:val="24"/>
          <w:szCs w:val="24"/>
        </w:rPr>
        <w:t>и</w:t>
      </w:r>
      <w:r w:rsidR="00A331D0" w:rsidRPr="00AF7E00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AF7E00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CB6938" w:rsidRPr="00AF7E00">
        <w:rPr>
          <w:rFonts w:ascii="Times New Roman" w:hAnsi="Times New Roman" w:cs="Times New Roman"/>
          <w:sz w:val="24"/>
          <w:szCs w:val="24"/>
        </w:rPr>
        <w:t>Гимназии №2</w:t>
      </w:r>
      <w:r w:rsidR="00216DCC" w:rsidRPr="00AF7E00">
        <w:rPr>
          <w:rFonts w:ascii="Times New Roman" w:hAnsi="Times New Roman" w:cs="Times New Roman"/>
          <w:sz w:val="24"/>
          <w:szCs w:val="24"/>
        </w:rPr>
        <w:t xml:space="preserve"> при формировании ВСОКО</w:t>
      </w:r>
      <w:r w:rsidR="00B14BA3" w:rsidRPr="00AF7E00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CB6938">
        <w:t xml:space="preserve"> </w:t>
      </w:r>
      <w:r w:rsidRPr="00CD5CE8">
        <w:t>В</w:t>
      </w:r>
      <w:r w:rsidR="00CB6938">
        <w:t xml:space="preserve"> </w:t>
      </w:r>
      <w:r w:rsidRPr="00CD5CE8">
        <w:t>Положении</w:t>
      </w:r>
      <w:r w:rsidR="00CB6938">
        <w:t xml:space="preserve"> </w:t>
      </w:r>
      <w:r w:rsidRPr="00CD5CE8">
        <w:t>использованы</w:t>
      </w:r>
      <w:r w:rsidR="00CB6938">
        <w:t xml:space="preserve"> </w:t>
      </w:r>
      <w:r w:rsidRPr="00CD5CE8">
        <w:t>следующие</w:t>
      </w:r>
      <w:r w:rsidR="00CB6938">
        <w:t xml:space="preserve"> 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качество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CB693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A4B87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</w:t>
      </w:r>
      <w:r w:rsidR="00B14BA3" w:rsidRPr="00CD5CE8">
        <w:rPr>
          <w:rFonts w:ascii="Times New Roman" w:hAnsi="Times New Roman" w:cs="Times New Roman"/>
          <w:sz w:val="24"/>
          <w:szCs w:val="24"/>
        </w:rPr>
        <w:t>езависимая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161864">
        <w:rPr>
          <w:rFonts w:ascii="Times New Roman" w:hAnsi="Times New Roman" w:cs="Times New Roman"/>
          <w:sz w:val="24"/>
          <w:szCs w:val="24"/>
        </w:rPr>
        <w:t xml:space="preserve"> (ВШК)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общий административный контроль качества образования в </w:t>
      </w:r>
      <w:r w:rsidR="009A4B87">
        <w:rPr>
          <w:rFonts w:ascii="Times New Roman" w:hAnsi="Times New Roman" w:cs="Times New Roman"/>
          <w:sz w:val="24"/>
          <w:szCs w:val="24"/>
        </w:rPr>
        <w:t>Гимназии №2</w:t>
      </w:r>
      <w:r w:rsidRPr="00CD5CE8">
        <w:rPr>
          <w:rFonts w:ascii="Times New Roman" w:hAnsi="Times New Roman" w:cs="Times New Roman"/>
          <w:sz w:val="24"/>
          <w:szCs w:val="24"/>
        </w:rPr>
        <w:t xml:space="preserve">, основанный на данных ВСОКО и обеспечивающий функционирование ВСОКО;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9A4B87">
        <w:rPr>
          <w:rFonts w:ascii="Times New Roman" w:hAnsi="Times New Roman" w:cs="Times New Roman"/>
          <w:sz w:val="24"/>
          <w:szCs w:val="24"/>
        </w:rPr>
        <w:t xml:space="preserve"> -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161864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ООП—основная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– санитарно-эпидемиологические правила и нормы;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9A4B87">
        <w:t xml:space="preserve"> </w:t>
      </w:r>
      <w:r w:rsidRPr="00CD5CE8">
        <w:t>ВСОКО</w:t>
      </w:r>
      <w:r w:rsidR="009A4B87">
        <w:t xml:space="preserve"> </w:t>
      </w:r>
      <w:r w:rsidRPr="00CD5CE8">
        <w:t>функционирует</w:t>
      </w:r>
      <w:r w:rsidR="009A4B87">
        <w:t xml:space="preserve"> </w:t>
      </w:r>
      <w:r w:rsidRPr="00CD5CE8">
        <w:t>как</w:t>
      </w:r>
      <w:r w:rsidR="009A4B87">
        <w:t xml:space="preserve"> </w:t>
      </w:r>
      <w:r w:rsidRPr="00CD5CE8">
        <w:t>единая</w:t>
      </w:r>
      <w:r w:rsidR="009A4B87">
        <w:t xml:space="preserve"> </w:t>
      </w:r>
      <w:r w:rsidRPr="00CD5CE8">
        <w:t>система</w:t>
      </w:r>
      <w:r w:rsidR="009A4B87">
        <w:t xml:space="preserve"> </w:t>
      </w:r>
      <w:r w:rsidRPr="00CD5CE8">
        <w:t>контроля</w:t>
      </w:r>
      <w:r w:rsidR="009A4B87">
        <w:t xml:space="preserve"> </w:t>
      </w:r>
      <w:r w:rsidRPr="00CD5CE8">
        <w:t>и</w:t>
      </w:r>
      <w:r w:rsidR="009A4B87">
        <w:t xml:space="preserve"> </w:t>
      </w:r>
      <w:r w:rsidRPr="00CD5CE8">
        <w:t>оценки</w:t>
      </w:r>
      <w:r w:rsidR="009A4B87">
        <w:t xml:space="preserve"> </w:t>
      </w:r>
      <w:r w:rsidRPr="00CD5CE8">
        <w:t>качества</w:t>
      </w:r>
      <w:r w:rsidR="009A4B87">
        <w:t xml:space="preserve"> </w:t>
      </w:r>
      <w:r w:rsidRPr="00CD5CE8">
        <w:t>образования</w:t>
      </w:r>
      <w:r w:rsidR="009A4B87">
        <w:t xml:space="preserve"> </w:t>
      </w:r>
      <w:r w:rsidRPr="00CD5CE8">
        <w:t>в</w:t>
      </w:r>
      <w:r w:rsidR="009A4B87">
        <w:t xml:space="preserve"> Гимназии №2 </w:t>
      </w:r>
      <w:r w:rsidRPr="00CD5CE8">
        <w:t>и</w:t>
      </w:r>
      <w:r w:rsidR="009A4B87">
        <w:t xml:space="preserve"> </w:t>
      </w:r>
      <w:r w:rsidRPr="00CD5CE8">
        <w:t>включает</w:t>
      </w:r>
      <w:r w:rsidR="009A4B87">
        <w:t xml:space="preserve"> </w:t>
      </w:r>
      <w:r w:rsidRPr="00CD5CE8">
        <w:t>в</w:t>
      </w:r>
      <w:r w:rsidR="009A4B87">
        <w:t xml:space="preserve"> </w:t>
      </w:r>
      <w:r w:rsidRPr="00CD5CE8">
        <w:t>себя:</w:t>
      </w:r>
    </w:p>
    <w:p w:rsidR="00B14BA3" w:rsidRPr="00CD5CE8" w:rsidRDefault="009A4B87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14BA3" w:rsidRPr="00CD5CE8">
        <w:rPr>
          <w:rFonts w:ascii="Times New Roman" w:hAnsi="Times New Roman" w:cs="Times New Roman"/>
          <w:sz w:val="24"/>
          <w:szCs w:val="24"/>
        </w:rPr>
        <w:t>убъекты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lastRenderedPageBreak/>
        <w:t>2.Организаци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="009A4B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 xml:space="preserve">/направления, критерии/показатели оценки предметных 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результатов и диагностики личностных результатов;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9A4B87">
        <w:t xml:space="preserve"> </w:t>
      </w:r>
      <w:r w:rsidR="00B14BA3" w:rsidRPr="00CD5CE8">
        <w:t>Направления</w:t>
      </w:r>
      <w:r w:rsidR="009A4B87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ООП по уровням общего образования 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4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</w:t>
      </w:r>
      <w:r w:rsidRPr="00AF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утверждается </w:t>
      </w:r>
      <w:r w:rsidR="00126667" w:rsidRPr="00AF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0C0917" w:rsidRPr="00AF7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A4B87" w:rsidRPr="00AF7E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C0917" w:rsidRPr="00AF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B87" w:rsidRPr="00AF7E0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№2</w:t>
      </w:r>
      <w:r w:rsidR="00126667" w:rsidRPr="00AF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контроле, проведении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обеспечении функционирования ВСОКО.</w:t>
      </w:r>
    </w:p>
    <w:p w:rsidR="008E1F79" w:rsidRPr="00CD5CE8" w:rsidRDefault="008E1F79" w:rsidP="00126667">
      <w:pPr>
        <w:spacing w:after="0"/>
        <w:jc w:val="both"/>
      </w:pPr>
    </w:p>
    <w:p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9A4B87">
        <w:t xml:space="preserve"> </w:t>
      </w:r>
      <w:r w:rsidR="00B14BA3" w:rsidRPr="00CD5CE8">
        <w:t>мероприятия</w:t>
      </w:r>
      <w:r w:rsidR="009A4B87">
        <w:t xml:space="preserve"> </w:t>
      </w:r>
      <w:r w:rsidR="00B14BA3" w:rsidRPr="00CD5CE8">
        <w:t>и</w:t>
      </w:r>
      <w:r w:rsidR="009A4B87">
        <w:t xml:space="preserve"> </w:t>
      </w:r>
      <w:r w:rsidR="00B14BA3" w:rsidRPr="00CD5CE8">
        <w:t>процедуры</w:t>
      </w:r>
      <w:r w:rsidR="009A4B87">
        <w:t xml:space="preserve"> </w:t>
      </w:r>
      <w:r w:rsidR="00B14BA3" w:rsidRPr="00CD5CE8">
        <w:t>в</w:t>
      </w:r>
      <w:r w:rsidR="009A4B87">
        <w:t xml:space="preserve"> </w:t>
      </w:r>
      <w:r w:rsidR="00B14BA3" w:rsidRPr="00CD5CE8">
        <w:t>рамках</w:t>
      </w:r>
      <w:r w:rsidR="009A4B87">
        <w:t xml:space="preserve"> </w:t>
      </w:r>
      <w:r w:rsidR="00B14BA3" w:rsidRPr="00CD5CE8">
        <w:t>ВСОКО</w:t>
      </w:r>
      <w:r w:rsidR="009A4B87">
        <w:t xml:space="preserve"> </w:t>
      </w:r>
      <w:r w:rsidR="00B14BA3" w:rsidRPr="00CD5CE8">
        <w:t>проводятся</w:t>
      </w:r>
      <w:r w:rsidR="009A4B87">
        <w:t xml:space="preserve"> </w:t>
      </w:r>
      <w:r w:rsidR="00B14BA3" w:rsidRPr="00CD5CE8">
        <w:t>в</w:t>
      </w:r>
      <w:r w:rsidR="009A4B87">
        <w:t xml:space="preserve"> </w:t>
      </w:r>
      <w:r w:rsidR="00B14BA3" w:rsidRPr="00CD5CE8">
        <w:t>течение</w:t>
      </w:r>
      <w:r w:rsidR="009A4B87">
        <w:t xml:space="preserve"> </w:t>
      </w:r>
      <w:r w:rsidR="00B14BA3" w:rsidRPr="00CD5CE8">
        <w:t>всего</w:t>
      </w:r>
      <w:r w:rsidR="009A4B87">
        <w:t xml:space="preserve"> </w:t>
      </w:r>
      <w:r w:rsidR="00B14BA3" w:rsidRPr="00CD5CE8">
        <w:t>учебного</w:t>
      </w:r>
      <w:r w:rsidR="009A4B87">
        <w:t xml:space="preserve"> </w:t>
      </w:r>
      <w:r w:rsidR="00B14BA3" w:rsidRPr="00CD5CE8">
        <w:t>года,</w:t>
      </w:r>
      <w:r w:rsidR="009A4B87">
        <w:t xml:space="preserve"> </w:t>
      </w:r>
      <w:r w:rsidR="00B14BA3" w:rsidRPr="00CD5CE8">
        <w:t>результаты</w:t>
      </w:r>
      <w:r w:rsidR="009A4B87">
        <w:t xml:space="preserve"> </w:t>
      </w:r>
      <w:r w:rsidR="00B14BA3" w:rsidRPr="00CD5CE8">
        <w:t>обобщаются</w:t>
      </w:r>
      <w:r w:rsidR="009A4B87">
        <w:t xml:space="preserve"> </w:t>
      </w:r>
      <w:r w:rsidR="00B14BA3" w:rsidRPr="00CD5CE8">
        <w:t>на</w:t>
      </w:r>
      <w:r w:rsidR="009A4B87">
        <w:t xml:space="preserve"> </w:t>
      </w:r>
      <w:r w:rsidR="00B14BA3" w:rsidRPr="00CD5CE8">
        <w:t>этапе</w:t>
      </w:r>
      <w:r w:rsidR="009A4B87">
        <w:t xml:space="preserve"> </w:t>
      </w:r>
      <w:r w:rsidR="00B14BA3" w:rsidRPr="00CD5CE8">
        <w:t>подготовки</w:t>
      </w:r>
      <w:r w:rsidR="009A4B87">
        <w:t xml:space="preserve"> </w:t>
      </w:r>
      <w:r w:rsidR="00B14BA3" w:rsidRPr="00CD5CE8">
        <w:t>отчета</w:t>
      </w:r>
      <w:r w:rsidR="009A4B87">
        <w:t xml:space="preserve"> </w:t>
      </w:r>
      <w:r w:rsidR="00B14BA3" w:rsidRPr="00CD5CE8">
        <w:t>о</w:t>
      </w:r>
      <w:r w:rsidR="009A4B87">
        <w:t xml:space="preserve"> </w:t>
      </w:r>
      <w:proofErr w:type="spellStart"/>
      <w:r w:rsidR="00B14BA3" w:rsidRPr="00CD5CE8">
        <w:t>самообследовании</w:t>
      </w:r>
      <w:proofErr w:type="spellEnd"/>
      <w:r w:rsidR="00B14BA3" w:rsidRPr="00CD5CE8">
        <w:t>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9A4B87">
        <w:t xml:space="preserve"> </w:t>
      </w:r>
      <w:r w:rsidR="00B14BA3" w:rsidRPr="00CD5CE8">
        <w:t>Мероприятия</w:t>
      </w:r>
      <w:r w:rsidR="009A4B87">
        <w:t xml:space="preserve"> </w:t>
      </w:r>
      <w:r w:rsidR="00B14BA3" w:rsidRPr="00CD5CE8">
        <w:t>ВШК</w:t>
      </w:r>
      <w:r w:rsidR="009A4B87">
        <w:t xml:space="preserve"> </w:t>
      </w:r>
      <w:r w:rsidR="00B14BA3" w:rsidRPr="00CD5CE8">
        <w:t>являются</w:t>
      </w:r>
      <w:r w:rsidR="009A4B87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9A4B87">
        <w:t xml:space="preserve"> </w:t>
      </w:r>
      <w:r w:rsidR="00B14BA3" w:rsidRPr="00CD5CE8">
        <w:t>ВСОКО.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.Основные</w:t>
      </w:r>
      <w:r w:rsidR="009A4B87">
        <w:t xml:space="preserve"> </w:t>
      </w:r>
      <w:r w:rsidR="00B14BA3" w:rsidRPr="00CD5CE8">
        <w:t>мероприятия</w:t>
      </w:r>
      <w:r w:rsidR="009A4B87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9A4B87">
        <w:rPr>
          <w:rFonts w:ascii="Times New Roman" w:hAnsi="Times New Roman" w:cs="Times New Roman"/>
          <w:sz w:val="24"/>
          <w:szCs w:val="24"/>
        </w:rPr>
        <w:t xml:space="preserve"> Гимназии №2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9A4B87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контроль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:rsidR="00B14BA3" w:rsidRPr="0010027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78">
        <w:rPr>
          <w:rFonts w:ascii="Times New Roman" w:hAnsi="Times New Roman" w:cs="Times New Roman"/>
          <w:sz w:val="24"/>
          <w:szCs w:val="24"/>
        </w:rPr>
        <w:t>контроль</w:t>
      </w:r>
      <w:r w:rsidR="00B235CC" w:rsidRPr="00100278">
        <w:rPr>
          <w:rFonts w:ascii="Times New Roman" w:hAnsi="Times New Roman" w:cs="Times New Roman"/>
          <w:sz w:val="24"/>
          <w:szCs w:val="24"/>
        </w:rPr>
        <w:t xml:space="preserve"> </w:t>
      </w:r>
      <w:r w:rsidRPr="00100278">
        <w:rPr>
          <w:rFonts w:ascii="Times New Roman" w:hAnsi="Times New Roman" w:cs="Times New Roman"/>
          <w:sz w:val="24"/>
          <w:szCs w:val="24"/>
        </w:rPr>
        <w:t>реализации</w:t>
      </w:r>
      <w:r w:rsidR="00B235CC" w:rsidRPr="00100278">
        <w:rPr>
          <w:rFonts w:ascii="Times New Roman" w:hAnsi="Times New Roman" w:cs="Times New Roman"/>
          <w:sz w:val="24"/>
          <w:szCs w:val="24"/>
        </w:rPr>
        <w:t xml:space="preserve"> </w:t>
      </w:r>
      <w:r w:rsidRPr="00100278">
        <w:rPr>
          <w:rFonts w:ascii="Times New Roman" w:hAnsi="Times New Roman" w:cs="Times New Roman"/>
          <w:sz w:val="24"/>
          <w:szCs w:val="24"/>
        </w:rPr>
        <w:t>программы</w:t>
      </w:r>
      <w:r w:rsidR="00B235CC" w:rsidRPr="00100278">
        <w:rPr>
          <w:rFonts w:ascii="Times New Roman" w:hAnsi="Times New Roman" w:cs="Times New Roman"/>
          <w:sz w:val="24"/>
          <w:szCs w:val="24"/>
        </w:rPr>
        <w:t xml:space="preserve"> </w:t>
      </w:r>
      <w:r w:rsidRPr="00100278">
        <w:rPr>
          <w:rFonts w:ascii="Times New Roman" w:hAnsi="Times New Roman" w:cs="Times New Roman"/>
          <w:sz w:val="24"/>
          <w:szCs w:val="24"/>
        </w:rPr>
        <w:t>коррекционной</w:t>
      </w:r>
      <w:r w:rsidR="00B235CC" w:rsidRPr="00100278">
        <w:rPr>
          <w:rFonts w:ascii="Times New Roman" w:hAnsi="Times New Roman" w:cs="Times New Roman"/>
          <w:sz w:val="24"/>
          <w:szCs w:val="24"/>
        </w:rPr>
        <w:t xml:space="preserve"> </w:t>
      </w:r>
      <w:r w:rsidRPr="00100278">
        <w:rPr>
          <w:rFonts w:ascii="Times New Roman" w:hAnsi="Times New Roman" w:cs="Times New Roman"/>
          <w:sz w:val="24"/>
          <w:szCs w:val="24"/>
        </w:rPr>
        <w:t>работы;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B235CC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B235CC">
        <w:rPr>
          <w:rFonts w:ascii="Times New Roman" w:hAnsi="Times New Roman" w:cs="Times New Roman"/>
          <w:sz w:val="24"/>
          <w:szCs w:val="24"/>
        </w:rPr>
        <w:t xml:space="preserve"> Гимназии №2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.Состав</w:t>
      </w:r>
      <w:r w:rsidR="00B235CC">
        <w:t xml:space="preserve"> </w:t>
      </w:r>
      <w:r w:rsidR="00B14BA3" w:rsidRPr="00CD5CE8">
        <w:t>должностных</w:t>
      </w:r>
      <w:r w:rsidR="007F37FE">
        <w:t xml:space="preserve"> </w:t>
      </w:r>
      <w:r w:rsidR="00B14BA3" w:rsidRPr="00CD5CE8">
        <w:t>лиц,</w:t>
      </w:r>
      <w:r w:rsidR="007F37FE">
        <w:t xml:space="preserve"> </w:t>
      </w:r>
      <w:r w:rsidR="00B14BA3" w:rsidRPr="00CD5CE8">
        <w:t>выполняемый</w:t>
      </w:r>
      <w:r w:rsidR="007F37FE">
        <w:t xml:space="preserve"> </w:t>
      </w:r>
      <w:r w:rsidR="00B14BA3" w:rsidRPr="00CD5CE8">
        <w:t>ими</w:t>
      </w:r>
      <w:r w:rsidR="007F37FE">
        <w:t xml:space="preserve"> </w:t>
      </w:r>
      <w:r w:rsidR="00B14BA3" w:rsidRPr="00CD5CE8">
        <w:t>в</w:t>
      </w:r>
      <w:r w:rsidR="007F37FE">
        <w:t xml:space="preserve"> </w:t>
      </w:r>
      <w:r w:rsidR="00B14BA3" w:rsidRPr="00CD5CE8">
        <w:t>рамках</w:t>
      </w:r>
      <w:r w:rsidR="007F37FE">
        <w:t xml:space="preserve"> </w:t>
      </w:r>
      <w:r w:rsidR="00B14BA3" w:rsidRPr="00CD5CE8">
        <w:t>ВСОКО</w:t>
      </w:r>
      <w:r w:rsidR="007F37FE">
        <w:t xml:space="preserve"> </w:t>
      </w:r>
      <w:r w:rsidR="00B14BA3" w:rsidRPr="00CD5CE8">
        <w:t>функционал,</w:t>
      </w:r>
      <w:r w:rsidR="007F37FE">
        <w:t xml:space="preserve"> </w:t>
      </w:r>
      <w:r w:rsidR="00B14BA3" w:rsidRPr="00CD5CE8">
        <w:t>состав</w:t>
      </w:r>
      <w:r w:rsidR="007F37FE">
        <w:t xml:space="preserve"> </w:t>
      </w:r>
      <w:r w:rsidR="00B14BA3" w:rsidRPr="00CD5CE8">
        <w:t>и</w:t>
      </w:r>
      <w:r w:rsidR="007F37FE">
        <w:t xml:space="preserve"> </w:t>
      </w:r>
      <w:r w:rsidR="00B14BA3" w:rsidRPr="00CD5CE8">
        <w:t>сроки</w:t>
      </w:r>
      <w:r w:rsidR="007F37FE">
        <w:t xml:space="preserve"> </w:t>
      </w:r>
      <w:r w:rsidR="00B14BA3" w:rsidRPr="00CD5CE8">
        <w:t>контрольно-оценочных</w:t>
      </w:r>
      <w:r w:rsidR="007F37FE">
        <w:t xml:space="preserve"> </w:t>
      </w:r>
      <w:r w:rsidR="00B14BA3" w:rsidRPr="00CD5CE8">
        <w:t>мероприятий</w:t>
      </w:r>
      <w:r w:rsidR="007F37FE">
        <w:t xml:space="preserve"> </w:t>
      </w:r>
      <w:r w:rsidR="00B14BA3" w:rsidRPr="00CD5CE8">
        <w:t>определяются</w:t>
      </w:r>
      <w:r w:rsidR="007F37FE">
        <w:t xml:space="preserve"> </w:t>
      </w:r>
      <w:r w:rsidR="00B14BA3" w:rsidRPr="00CD5CE8">
        <w:t>ежегодным</w:t>
      </w:r>
      <w:r w:rsidR="007F37FE">
        <w:t xml:space="preserve"> </w:t>
      </w:r>
      <w:r w:rsidR="00B14BA3" w:rsidRPr="00CD5CE8">
        <w:t>приказом</w:t>
      </w:r>
      <w:r w:rsidR="007F37FE">
        <w:t xml:space="preserve"> </w:t>
      </w:r>
      <w:r w:rsidR="00B14BA3" w:rsidRPr="00CD5CE8">
        <w:t>руководителя</w:t>
      </w:r>
      <w:r w:rsidR="007F37FE" w:rsidRPr="007F37FE">
        <w:t xml:space="preserve"> </w:t>
      </w:r>
      <w:r w:rsidR="007F37FE">
        <w:t xml:space="preserve">Гимназии №2 </w:t>
      </w:r>
      <w:r w:rsidR="00B14BA3" w:rsidRPr="00CD5CE8">
        <w:t>об</w:t>
      </w:r>
      <w:r w:rsidR="007F37FE">
        <w:t xml:space="preserve"> организации проведении </w:t>
      </w:r>
      <w:r w:rsidR="00B14BA3" w:rsidRPr="00CD5CE8">
        <w:t>и</w:t>
      </w:r>
      <w:r w:rsidR="007F37FE">
        <w:t xml:space="preserve"> </w:t>
      </w:r>
      <w:r w:rsidR="00B14BA3" w:rsidRPr="00CD5CE8">
        <w:t>контрольно-оценочной</w:t>
      </w:r>
      <w:r w:rsidR="007F37FE">
        <w:t xml:space="preserve"> </w:t>
      </w:r>
      <w:r w:rsidR="00B14BA3" w:rsidRPr="00CD5CE8">
        <w:t>деятельности</w:t>
      </w:r>
      <w:r w:rsidR="007F37FE">
        <w:t xml:space="preserve"> </w:t>
      </w:r>
      <w:r w:rsidR="00B14BA3" w:rsidRPr="00CD5CE8">
        <w:t>и</w:t>
      </w:r>
      <w:r w:rsidR="007F37FE">
        <w:t xml:space="preserve"> </w:t>
      </w:r>
      <w:r w:rsidR="00B14BA3" w:rsidRPr="00CD5CE8">
        <w:t>подготовке</w:t>
      </w:r>
      <w:r w:rsidR="007F37FE">
        <w:t xml:space="preserve"> </w:t>
      </w:r>
      <w:r w:rsidR="00B14BA3" w:rsidRPr="00CD5CE8">
        <w:t>отчета</w:t>
      </w:r>
      <w:r w:rsidR="007F37FE">
        <w:t xml:space="preserve"> </w:t>
      </w:r>
      <w:r w:rsidR="00B14BA3" w:rsidRPr="00CD5CE8">
        <w:t>о</w:t>
      </w:r>
      <w:r w:rsidR="007F37FE">
        <w:t xml:space="preserve"> </w:t>
      </w:r>
      <w:proofErr w:type="spellStart"/>
      <w:r w:rsidR="00B14BA3" w:rsidRPr="00CD5CE8">
        <w:t>самообследовании</w:t>
      </w:r>
      <w:proofErr w:type="spellEnd"/>
      <w:r w:rsidR="00B14BA3" w:rsidRPr="00CD5CE8">
        <w:t>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.Контрольно-оценочные</w:t>
      </w:r>
      <w:r w:rsidR="00F95028">
        <w:t xml:space="preserve"> </w:t>
      </w:r>
      <w:r w:rsidR="00B14BA3" w:rsidRPr="00CD5CE8">
        <w:t>мероприятия</w:t>
      </w:r>
      <w:r w:rsidR="00F95028">
        <w:t xml:space="preserve"> </w:t>
      </w:r>
      <w:r w:rsidR="00B14BA3" w:rsidRPr="00CD5CE8">
        <w:t>и</w:t>
      </w:r>
      <w:r w:rsidR="00F95028">
        <w:t xml:space="preserve"> </w:t>
      </w:r>
      <w:r w:rsidR="00B14BA3" w:rsidRPr="00CD5CE8">
        <w:t>процедуры</w:t>
      </w:r>
      <w:r w:rsidR="00F95028">
        <w:t xml:space="preserve"> </w:t>
      </w:r>
      <w:r w:rsidR="00B14BA3" w:rsidRPr="00CD5CE8">
        <w:t>в</w:t>
      </w:r>
      <w:r w:rsidR="00F95028">
        <w:t xml:space="preserve"> </w:t>
      </w:r>
      <w:r w:rsidR="00B14BA3" w:rsidRPr="00CD5CE8">
        <w:t>рамках</w:t>
      </w:r>
      <w:r w:rsidR="00F95028">
        <w:t xml:space="preserve"> </w:t>
      </w:r>
      <w:r w:rsidR="00B14BA3" w:rsidRPr="00CD5CE8">
        <w:t>ВСОКО</w:t>
      </w:r>
      <w:r w:rsidR="00F95028">
        <w:t xml:space="preserve"> </w:t>
      </w:r>
      <w:r w:rsidR="00B14BA3" w:rsidRPr="00CD5CE8">
        <w:t>включаются</w:t>
      </w:r>
      <w:r w:rsidR="00F95028">
        <w:t xml:space="preserve"> </w:t>
      </w:r>
      <w:r w:rsidR="00B14BA3" w:rsidRPr="00CD5CE8">
        <w:t>в</w:t>
      </w:r>
      <w:r w:rsidR="00F95028">
        <w:t xml:space="preserve"> </w:t>
      </w:r>
      <w:r w:rsidR="00B14BA3" w:rsidRPr="00CD5CE8">
        <w:t>годовой</w:t>
      </w:r>
      <w:r w:rsidR="00F95028">
        <w:t xml:space="preserve"> </w:t>
      </w:r>
      <w:r w:rsidR="00B14BA3" w:rsidRPr="00CD5CE8">
        <w:t>план</w:t>
      </w:r>
      <w:r w:rsidR="00F95028">
        <w:t xml:space="preserve"> </w:t>
      </w:r>
      <w:r w:rsidR="00B14BA3" w:rsidRPr="00CD5CE8">
        <w:t>работы</w:t>
      </w:r>
      <w:r w:rsidR="00F95028" w:rsidRPr="00F95028">
        <w:t xml:space="preserve"> </w:t>
      </w:r>
      <w:r w:rsidR="00F95028">
        <w:t>Гимназии №2</w:t>
      </w:r>
      <w:r w:rsidR="00B14BA3" w:rsidRPr="00CD5CE8">
        <w:t>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 xml:space="preserve">3.6. Данные ВШК используются для установления обратной связи субъектов управления качеством образования в </w:t>
      </w:r>
      <w:r w:rsidR="00F95028">
        <w:t>Гимназии №2</w:t>
      </w:r>
      <w:r w:rsidRPr="00CD5CE8">
        <w:t>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учебного плана и плана внеурочной деятельности требованиям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F9502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представленности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AF7E00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>4.3</w:t>
      </w:r>
      <w:r w:rsidRPr="00AF7E00">
        <w:t xml:space="preserve">. Оценка содержания образования проводится с использованием </w:t>
      </w:r>
      <w:proofErr w:type="spellStart"/>
      <w:proofErr w:type="gramStart"/>
      <w:r w:rsidRPr="00AF7E00">
        <w:t>чек-листа</w:t>
      </w:r>
      <w:proofErr w:type="spellEnd"/>
      <w:proofErr w:type="gramEnd"/>
      <w:r w:rsidRPr="00AF7E00">
        <w:t xml:space="preserve">, являющегося приложением к настоящему Положению (Приложение </w:t>
      </w:r>
      <w:r w:rsidR="007735D4" w:rsidRPr="00AF7E00">
        <w:t>2</w:t>
      </w:r>
      <w:r w:rsidRPr="00AF7E00">
        <w:t>)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 xml:space="preserve">4.4. Оценка дополнительных </w:t>
      </w:r>
      <w:proofErr w:type="spellStart"/>
      <w:r w:rsidRPr="00CD5CE8">
        <w:t>общеразвивающих</w:t>
      </w:r>
      <w:proofErr w:type="spellEnd"/>
      <w:r w:rsidRPr="00CD5CE8">
        <w:t xml:space="preserve"> программ проводится только на этапе их внесения в школьный реестр дополнительных </w:t>
      </w:r>
      <w:proofErr w:type="spellStart"/>
      <w:r w:rsidRPr="00CD5CE8">
        <w:t>общеразвивающих</w:t>
      </w:r>
      <w:proofErr w:type="spellEnd"/>
      <w:r w:rsidRPr="00CD5CE8">
        <w:t xml:space="preserve"> программ по параметрам: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lastRenderedPageBreak/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проектной и исследовательской деятельности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методических объединений.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F9502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F9502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AF7E00">
        <w:t>директора</w:t>
      </w:r>
      <w:r w:rsidR="00F95028" w:rsidRPr="00F95028">
        <w:t xml:space="preserve"> </w:t>
      </w:r>
      <w:r w:rsidR="00F95028">
        <w:t>Гимназии №2</w:t>
      </w:r>
      <w:r w:rsidRPr="00CD5CE8">
        <w:t xml:space="preserve"> с учетом протокола согласования изменений со стороны </w:t>
      </w:r>
      <w:r w:rsidR="00F95028">
        <w:t>научно-</w:t>
      </w:r>
      <w:r w:rsidRPr="00CD5CE8">
        <w:t xml:space="preserve">методического совета </w:t>
      </w:r>
      <w:r w:rsidR="00AF7E00">
        <w:t>гимназии</w:t>
      </w:r>
      <w:r w:rsidRPr="00CD5CE8">
        <w:t>.</w:t>
      </w:r>
    </w:p>
    <w:p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 xml:space="preserve">5.1. Оценка условий реализации ООП </w:t>
      </w:r>
      <w:r w:rsidR="00F95028">
        <w:t>Гимназии №2</w:t>
      </w:r>
      <w:r w:rsidRPr="00CD5CE8">
        <w:t xml:space="preserve"> (по уровням общего образования) требованиям ФГОС проводится в отношении: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учет федеральных показателей деятельности образовательной организации, подлежащей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учет федеральных требований к содержанию отчета о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F95028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 xml:space="preserve">Результаты ежегодной оценки условий реализации образовательных программ включаются в отчет о </w:t>
      </w:r>
      <w:proofErr w:type="spellStart"/>
      <w:r w:rsidR="00067630" w:rsidRPr="00CD5CE8">
        <w:t>самообследовании</w:t>
      </w:r>
      <w:proofErr w:type="spellEnd"/>
      <w:r w:rsidR="00067630" w:rsidRPr="00CD5CE8">
        <w:t xml:space="preserve">. Для отчета о </w:t>
      </w:r>
      <w:proofErr w:type="spellStart"/>
      <w:r w:rsidR="00067630" w:rsidRPr="00CD5CE8">
        <w:t>самообследовании</w:t>
      </w:r>
      <w:proofErr w:type="spellEnd"/>
      <w:r w:rsidR="00067630" w:rsidRPr="00CD5CE8">
        <w:t xml:space="preserve"> используются те же критерии, которые включены в структуру оценки условий реализации образовательных программ.</w:t>
      </w:r>
    </w:p>
    <w:p w:rsidR="00AF7E00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 xml:space="preserve">. Допускается отражать те или иные условия, необходимые для реализации конкретных рабочих программ или дополнительных </w:t>
      </w:r>
      <w:proofErr w:type="spellStart"/>
      <w:r w:rsidRPr="00CD5CE8">
        <w:t>общеразвивающих</w:t>
      </w:r>
      <w:proofErr w:type="spellEnd"/>
      <w:r w:rsidRPr="00CD5CE8">
        <w:t xml:space="preserve"> программ в их пояснительных записках.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C919CF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lastRenderedPageBreak/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="00F950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</w:t>
      </w:r>
      <w:proofErr w:type="spellStart"/>
      <w:r w:rsidRPr="00CD5CE8">
        <w:t>недостижения</w:t>
      </w:r>
      <w:proofErr w:type="spellEnd"/>
      <w:r w:rsidRPr="00CD5CE8">
        <w:t xml:space="preserve"> обучающимися планируемых результатов освоения ООП по уровням общего образования: личностных, </w:t>
      </w:r>
      <w:proofErr w:type="spellStart"/>
      <w:r w:rsidRPr="00CD5CE8">
        <w:t>метапредметных</w:t>
      </w:r>
      <w:proofErr w:type="spellEnd"/>
      <w:r w:rsidRPr="00CD5CE8">
        <w:t xml:space="preserve">, предметных. 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6.2. Все группы образовательных результатов: личностные, </w:t>
      </w:r>
      <w:proofErr w:type="spellStart"/>
      <w:r w:rsidRPr="00CD5CE8">
        <w:t>метапредметные</w:t>
      </w:r>
      <w:proofErr w:type="spellEnd"/>
      <w:r w:rsidRPr="00CD5CE8">
        <w:t xml:space="preserve">, предметные – </w:t>
      </w:r>
      <w:proofErr w:type="gramStart"/>
      <w:r w:rsidRPr="00CD5CE8">
        <w:t>оцениваются</w:t>
      </w:r>
      <w:proofErr w:type="gramEnd"/>
      <w:r w:rsidRPr="00CD5CE8">
        <w:t>/ диагностируются в рамках: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</w:t>
      </w:r>
      <w:r w:rsidR="00F95028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</w:t>
      </w:r>
      <w:r w:rsidR="00F95028">
        <w:t xml:space="preserve"> </w:t>
      </w:r>
      <w:proofErr w:type="gramStart"/>
      <w:r w:rsidRPr="00CD5CE8">
        <w:t xml:space="preserve">Оценка предметных образовательных результатов интегрирована с подготовкой отчета о </w:t>
      </w:r>
      <w:proofErr w:type="spellStart"/>
      <w:r w:rsidRPr="00CD5CE8">
        <w:t>самообследовании</w:t>
      </w:r>
      <w:proofErr w:type="spellEnd"/>
      <w:r w:rsidRPr="00CD5CE8">
        <w:t xml:space="preserve"> по блоку «Качество подготовки обучающихся».</w:t>
      </w:r>
      <w:proofErr w:type="gramEnd"/>
      <w:r w:rsidRPr="00CD5CE8">
        <w:t xml:space="preserve">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и развития личностных образовательных результатов (Приложение 5);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и развития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(Приложение 6);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. п.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6.6. Индивидуальный прогресс </w:t>
      </w:r>
      <w:proofErr w:type="gramStart"/>
      <w:r w:rsidRPr="00CD5CE8">
        <w:t>обучающегося</w:t>
      </w:r>
      <w:proofErr w:type="gramEnd"/>
      <w:r w:rsidRPr="00CD5CE8">
        <w:t xml:space="preserve"> в урочной и внеурочной деятельности оценивается посредством: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статистического учета единиц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экспертного заключения на реализованный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="004E148D">
        <w:t>гимназии</w:t>
      </w:r>
      <w:r w:rsidRPr="00CD5CE8">
        <w:t>.</w:t>
      </w:r>
    </w:p>
    <w:p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:rsidR="00023DCE" w:rsidRPr="00CD5CE8" w:rsidRDefault="00023DCE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 xml:space="preserve">7.1. Функционирование ВСОКО подчинено задачам </w:t>
      </w:r>
      <w:proofErr w:type="spellStart"/>
      <w:r w:rsidRPr="00CD5CE8">
        <w:t>внутришкольного</w:t>
      </w:r>
      <w:proofErr w:type="spellEnd"/>
      <w:r w:rsidRPr="00CD5CE8">
        <w:t xml:space="preserve"> административного контроля.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4E148D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</w:t>
      </w:r>
      <w:r w:rsidRPr="004E148D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4E148D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4E148D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4E148D">
        <w:rPr>
          <w:rFonts w:ascii="Times New Roman" w:hAnsi="Times New Roman" w:cs="Times New Roman"/>
          <w:sz w:val="24"/>
          <w:szCs w:val="24"/>
        </w:rPr>
        <w:t>Гимназии №2</w:t>
      </w:r>
      <w:r w:rsidR="00723CA0">
        <w:rPr>
          <w:rFonts w:ascii="Times New Roman" w:hAnsi="Times New Roman" w:cs="Times New Roman"/>
          <w:sz w:val="24"/>
          <w:szCs w:val="24"/>
        </w:rPr>
        <w:t xml:space="preserve"> о</w:t>
      </w:r>
      <w:r w:rsidRPr="00CD5CE8">
        <w:rPr>
          <w:rFonts w:ascii="Times New Roman" w:hAnsi="Times New Roman" w:cs="Times New Roman"/>
          <w:sz w:val="24"/>
          <w:szCs w:val="24"/>
        </w:rPr>
        <w:t xml:space="preserve">б административном контроле, проведении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5E2EE2" w:rsidRPr="000C0917" w:rsidRDefault="00023DCE" w:rsidP="000C09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системной управленческой аналитикой, основанной на данных ВСОКО в разрезе их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для принятия управленческих решений.</w:t>
      </w: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8. ВСОКО и </w:t>
      </w:r>
      <w:proofErr w:type="spellStart"/>
      <w:r w:rsidRPr="00CD5CE8">
        <w:rPr>
          <w:rFonts w:ascii="Times New Roman" w:hAnsi="Times New Roman" w:cs="Times New Roman"/>
          <w:color w:val="auto"/>
          <w:sz w:val="24"/>
          <w:szCs w:val="24"/>
        </w:rPr>
        <w:t>самообследования</w:t>
      </w:r>
      <w:proofErr w:type="spellEnd"/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 xml:space="preserve">8.1. </w:t>
      </w:r>
      <w:proofErr w:type="spellStart"/>
      <w:r w:rsidRPr="00CD5CE8">
        <w:t>Самообследование</w:t>
      </w:r>
      <w:proofErr w:type="spellEnd"/>
      <w:r w:rsidRPr="00CD5CE8">
        <w:t xml:space="preserve"> – мероприятие ВСОКО</w:t>
      </w:r>
      <w:r w:rsidR="00D43C9D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 xml:space="preserve">8.2. Отчет о </w:t>
      </w:r>
      <w:proofErr w:type="spellStart"/>
      <w:r w:rsidRPr="00CD5CE8">
        <w:t>самообследовании</w:t>
      </w:r>
      <w:proofErr w:type="spellEnd"/>
      <w:r w:rsidRPr="00CD5CE8">
        <w:t xml:space="preserve">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 xml:space="preserve">8.3. График работ по </w:t>
      </w:r>
      <w:proofErr w:type="spellStart"/>
      <w:r w:rsidRPr="00CD5CE8">
        <w:t>самообследованию</w:t>
      </w:r>
      <w:proofErr w:type="spellEnd"/>
      <w:r w:rsidRPr="00CD5CE8">
        <w:t xml:space="preserve"> и подготовке отчета о </w:t>
      </w:r>
      <w:proofErr w:type="spellStart"/>
      <w:r w:rsidRPr="00CD5CE8">
        <w:t>самообследовании</w:t>
      </w:r>
      <w:proofErr w:type="spellEnd"/>
      <w:r w:rsidRPr="00CD5CE8">
        <w:t xml:space="preserve"> утверждается приложением к ежегодному приказу «Об административном контроле, проведении </w:t>
      </w:r>
      <w:proofErr w:type="spellStart"/>
      <w:r w:rsidRPr="00CD5CE8">
        <w:t>самообследования</w:t>
      </w:r>
      <w:proofErr w:type="spellEnd"/>
      <w:r w:rsidRPr="00CD5CE8">
        <w:t xml:space="preserve"> и обеспечении функционирования ВСОКО».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618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1618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1618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1618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личностных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</w:t>
      </w:r>
      <w:r w:rsidR="003B3DB3">
        <w:t>Гимназии №2</w:t>
      </w:r>
      <w:r w:rsidR="005E2EE2" w:rsidRPr="00CD5CE8">
        <w:t xml:space="preserve"> могут разрабатываться и проводиться иные мониторинги. Перечень мониторингов фиксируется ежегодным приказом </w:t>
      </w:r>
      <w:r w:rsidR="003B3DB3">
        <w:t>директора Гимназии №2</w:t>
      </w:r>
      <w:r w:rsidR="00D43C9D">
        <w:t xml:space="preserve"> о</w:t>
      </w:r>
      <w:r w:rsidR="005E2EE2" w:rsidRPr="00CD5CE8">
        <w:t xml:space="preserve">б административном контроле, проведении </w:t>
      </w:r>
      <w:proofErr w:type="spellStart"/>
      <w:r w:rsidR="005E2EE2" w:rsidRPr="00CD5CE8">
        <w:t>самообследования</w:t>
      </w:r>
      <w:proofErr w:type="spellEnd"/>
      <w:r w:rsidR="005E2EE2" w:rsidRPr="00CD5CE8">
        <w:t xml:space="preserve"> и обеспечении функционирования ВСОКО.</w:t>
      </w:r>
    </w:p>
    <w:p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</w:t>
      </w:r>
      <w:r w:rsidR="003B3DB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выносимые в отчет о </w:t>
      </w:r>
      <w:proofErr w:type="spellStart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ежегодного анализа составляют аналитическую часть отчета о </w:t>
      </w:r>
      <w:proofErr w:type="spellStart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E14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4E14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4E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B3D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48D">
        <w:rPr>
          <w:rFonts w:ascii="Times New Roman" w:hAnsi="Times New Roman" w:cs="Times New Roman"/>
          <w:sz w:val="24"/>
          <w:szCs w:val="24"/>
        </w:rPr>
        <w:t>Гимназии №2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административном контроле, проведении </w:t>
      </w:r>
      <w:proofErr w:type="spellStart"/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обеспечении функционирования ВСОКО.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отчет о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lastRenderedPageBreak/>
        <w:t>анкетно-опросный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материал; шаблоны стандартизованных форм и др.;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B3DB3">
        <w:rPr>
          <w:rFonts w:ascii="Times New Roman" w:hAnsi="Times New Roman" w:cs="Times New Roman"/>
          <w:sz w:val="24"/>
          <w:szCs w:val="24"/>
        </w:rPr>
        <w:t>Гимназии №2.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4E148D">
        <w:t xml:space="preserve"> </w:t>
      </w:r>
      <w:r w:rsidR="00B14BA3" w:rsidRPr="00CD5CE8">
        <w:t>Должностное</w:t>
      </w:r>
      <w:r w:rsidR="004E148D">
        <w:t xml:space="preserve"> </w:t>
      </w:r>
      <w:r w:rsidR="00B14BA3" w:rsidRPr="00CD5CE8">
        <w:t>лицо,</w:t>
      </w:r>
      <w:r w:rsidR="004E148D">
        <w:t xml:space="preserve"> </w:t>
      </w:r>
      <w:r w:rsidR="00B14BA3" w:rsidRPr="00CD5CE8">
        <w:t>координирующее</w:t>
      </w:r>
      <w:r w:rsidR="004E148D">
        <w:t xml:space="preserve"> </w:t>
      </w:r>
      <w:r w:rsidR="00B14BA3" w:rsidRPr="00CD5CE8">
        <w:t>своевременную</w:t>
      </w:r>
      <w:r w:rsidR="004E148D">
        <w:t xml:space="preserve"> </w:t>
      </w:r>
      <w:r w:rsidR="00B14BA3" w:rsidRPr="00CD5CE8">
        <w:t>и</w:t>
      </w:r>
      <w:r w:rsidR="004E148D">
        <w:t xml:space="preserve"> </w:t>
      </w:r>
      <w:r w:rsidR="00B14BA3" w:rsidRPr="00CD5CE8">
        <w:t>качественную</w:t>
      </w:r>
      <w:r w:rsidR="004E148D">
        <w:t xml:space="preserve"> </w:t>
      </w:r>
      <w:r w:rsidR="00B14BA3" w:rsidRPr="00CD5CE8">
        <w:t>подготовку</w:t>
      </w:r>
      <w:r w:rsidR="004E148D">
        <w:t xml:space="preserve"> </w:t>
      </w:r>
      <w:r w:rsidR="00B14BA3" w:rsidRPr="00CD5CE8">
        <w:t>документов</w:t>
      </w:r>
      <w:r w:rsidR="004E148D">
        <w:t xml:space="preserve"> </w:t>
      </w:r>
      <w:r w:rsidR="00B14BA3" w:rsidRPr="00CD5CE8">
        <w:t>ВСОКО,</w:t>
      </w:r>
      <w:r w:rsidR="004E148D">
        <w:t xml:space="preserve"> </w:t>
      </w:r>
      <w:r w:rsidR="00B14BA3" w:rsidRPr="00CD5CE8">
        <w:t>ежегодно</w:t>
      </w:r>
      <w:r w:rsidR="004E148D">
        <w:t xml:space="preserve"> </w:t>
      </w:r>
      <w:r w:rsidR="00B14BA3" w:rsidRPr="00CD5CE8">
        <w:t>назначается</w:t>
      </w:r>
      <w:r w:rsidR="004E148D">
        <w:t xml:space="preserve"> </w:t>
      </w:r>
      <w:r w:rsidR="00B14BA3" w:rsidRPr="00CD5CE8">
        <w:t>приказом</w:t>
      </w:r>
      <w:r w:rsidR="004E148D">
        <w:t xml:space="preserve"> </w:t>
      </w:r>
      <w:r w:rsidR="003B3DB3">
        <w:t>директора</w:t>
      </w:r>
      <w:r w:rsidR="004E148D" w:rsidRPr="004E148D">
        <w:t xml:space="preserve"> </w:t>
      </w:r>
      <w:r w:rsidR="004E148D">
        <w:t>Гимназии №2</w:t>
      </w:r>
      <w:r w:rsidR="00B14BA3" w:rsidRPr="00CD5CE8">
        <w:t>.</w:t>
      </w:r>
    </w:p>
    <w:p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:rsidR="00B14BA3" w:rsidRDefault="00C85E97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>11</w:t>
      </w:r>
      <w:r w:rsidR="00B14BA3" w:rsidRPr="00CD5CE8">
        <w:rPr>
          <w:b/>
        </w:rPr>
        <w:t>.Заключительные</w:t>
      </w:r>
      <w:r w:rsidR="004E148D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:rsidR="000C0917" w:rsidRPr="00CD5CE8" w:rsidRDefault="000C0917" w:rsidP="009E0671">
      <w:pPr>
        <w:pStyle w:val="article"/>
        <w:spacing w:before="0" w:beforeAutospacing="0" w:after="0" w:afterAutospacing="0"/>
        <w:jc w:val="both"/>
        <w:rPr>
          <w:b/>
        </w:rPr>
      </w:pP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4E148D">
        <w:t xml:space="preserve"> </w:t>
      </w:r>
      <w:r w:rsidR="00B14BA3" w:rsidRPr="00CD5CE8">
        <w:t>Настоящее</w:t>
      </w:r>
      <w:r w:rsidR="004E148D">
        <w:t xml:space="preserve"> </w:t>
      </w:r>
      <w:r w:rsidR="00B14BA3" w:rsidRPr="00CD5CE8">
        <w:t>Положение</w:t>
      </w:r>
      <w:r w:rsidR="004E148D">
        <w:t xml:space="preserve"> </w:t>
      </w:r>
      <w:r w:rsidR="00B14BA3" w:rsidRPr="00CD5CE8">
        <w:t>реализуется</w:t>
      </w:r>
      <w:r w:rsidR="004E148D">
        <w:t xml:space="preserve"> </w:t>
      </w:r>
      <w:r w:rsidR="00B14BA3" w:rsidRPr="00CD5CE8">
        <w:t>во</w:t>
      </w:r>
      <w:r w:rsidR="004E148D">
        <w:t xml:space="preserve"> </w:t>
      </w:r>
      <w:r w:rsidR="00B14BA3" w:rsidRPr="00CD5CE8">
        <w:t>взаимосвязи</w:t>
      </w:r>
      <w:r w:rsidR="004E148D">
        <w:t xml:space="preserve"> </w:t>
      </w:r>
      <w:r w:rsidR="00B14BA3" w:rsidRPr="00CD5CE8">
        <w:t>с</w:t>
      </w:r>
      <w:r w:rsidR="004E148D">
        <w:t xml:space="preserve"> </w:t>
      </w:r>
      <w:r w:rsidR="00392277">
        <w:t>П</w:t>
      </w:r>
      <w:r w:rsidR="00B14BA3" w:rsidRPr="00CD5CE8">
        <w:t>оложением</w:t>
      </w:r>
      <w:r w:rsidR="004E148D">
        <w:t xml:space="preserve"> </w:t>
      </w:r>
      <w:r w:rsidR="00B14BA3" w:rsidRPr="00CD5CE8">
        <w:t>о</w:t>
      </w:r>
      <w:r w:rsidR="004E148D">
        <w:t xml:space="preserve"> </w:t>
      </w:r>
      <w:r w:rsidR="00B14BA3" w:rsidRPr="00CD5CE8">
        <w:t>формах,</w:t>
      </w:r>
      <w:r w:rsidR="004E148D">
        <w:t xml:space="preserve"> </w:t>
      </w:r>
      <w:r w:rsidR="00B14BA3" w:rsidRPr="00CD5CE8">
        <w:t>периодичности,</w:t>
      </w:r>
      <w:r w:rsidR="004E148D">
        <w:t xml:space="preserve"> </w:t>
      </w:r>
      <w:r w:rsidR="00B14BA3" w:rsidRPr="00CD5CE8">
        <w:t>порядке</w:t>
      </w:r>
      <w:r w:rsidR="004E148D">
        <w:t xml:space="preserve"> </w:t>
      </w:r>
      <w:r w:rsidR="00B14BA3" w:rsidRPr="00CD5CE8">
        <w:t>текущего</w:t>
      </w:r>
      <w:r w:rsidR="004E148D">
        <w:t xml:space="preserve"> </w:t>
      </w:r>
      <w:r w:rsidR="00B14BA3" w:rsidRPr="00CD5CE8">
        <w:t>контроля</w:t>
      </w:r>
      <w:r w:rsidR="004E148D">
        <w:t xml:space="preserve"> </w:t>
      </w:r>
      <w:r w:rsidR="00B14BA3" w:rsidRPr="00CD5CE8">
        <w:t>и</w:t>
      </w:r>
      <w:r w:rsidR="004E148D">
        <w:t xml:space="preserve"> </w:t>
      </w:r>
      <w:r w:rsidR="00B14BA3" w:rsidRPr="00CD5CE8">
        <w:t>промежуточной</w:t>
      </w:r>
      <w:r w:rsidR="004E148D">
        <w:t xml:space="preserve"> </w:t>
      </w:r>
      <w:r w:rsidR="00B14BA3" w:rsidRPr="00CD5CE8">
        <w:t>аттестации</w:t>
      </w:r>
      <w:r w:rsidR="004E148D">
        <w:t xml:space="preserve"> </w:t>
      </w:r>
      <w:r w:rsidR="00B14BA3" w:rsidRPr="00CD5CE8">
        <w:t>обучающихся,</w:t>
      </w:r>
      <w:r w:rsidR="004E148D">
        <w:t xml:space="preserve"> </w:t>
      </w:r>
      <w:r w:rsidR="00392277">
        <w:t>П</w:t>
      </w:r>
      <w:r w:rsidR="00B14BA3" w:rsidRPr="00CD5CE8">
        <w:t>оложением</w:t>
      </w:r>
      <w:r w:rsidR="00056FDB">
        <w:t xml:space="preserve"> </w:t>
      </w:r>
      <w:r w:rsidR="00B14BA3" w:rsidRPr="00CD5CE8">
        <w:t>об</w:t>
      </w:r>
      <w:r w:rsidR="00056FDB">
        <w:t xml:space="preserve"> </w:t>
      </w:r>
      <w:r w:rsidR="00B14BA3" w:rsidRPr="00CD5CE8">
        <w:t>индивидуальном</w:t>
      </w:r>
      <w:r w:rsidR="00056FDB">
        <w:t xml:space="preserve"> </w:t>
      </w:r>
      <w:r w:rsidR="00B14BA3" w:rsidRPr="00CD5CE8">
        <w:t>учете</w:t>
      </w:r>
      <w:r w:rsidR="00056FDB">
        <w:t xml:space="preserve"> </w:t>
      </w:r>
      <w:r w:rsidR="00B14BA3" w:rsidRPr="00CD5CE8">
        <w:t>освоения</w:t>
      </w:r>
      <w:r w:rsidR="00056FDB">
        <w:t xml:space="preserve"> </w:t>
      </w:r>
      <w:proofErr w:type="gramStart"/>
      <w:r w:rsidR="00B14BA3" w:rsidRPr="00CD5CE8">
        <w:t>обучающимися</w:t>
      </w:r>
      <w:proofErr w:type="gramEnd"/>
      <w:r w:rsidR="00056FDB">
        <w:t xml:space="preserve"> </w:t>
      </w:r>
      <w:r w:rsidR="00B14BA3" w:rsidRPr="00CD5CE8">
        <w:t>образовательных</w:t>
      </w:r>
      <w:r w:rsidR="00056FDB">
        <w:t xml:space="preserve"> </w:t>
      </w:r>
      <w:r w:rsidR="00B14BA3" w:rsidRPr="00CD5CE8">
        <w:t>программ</w:t>
      </w:r>
      <w:r w:rsidR="00056FDB">
        <w:t xml:space="preserve"> </w:t>
      </w:r>
      <w:r w:rsidR="00B14BA3" w:rsidRPr="00CD5CE8">
        <w:t>и</w:t>
      </w:r>
      <w:r w:rsidR="00056FDB">
        <w:t xml:space="preserve"> </w:t>
      </w:r>
      <w:r w:rsidR="00B14BA3" w:rsidRPr="00CD5CE8">
        <w:t>поощрений</w:t>
      </w:r>
      <w:r w:rsidR="00056FDB">
        <w:t xml:space="preserve"> </w:t>
      </w:r>
      <w:r w:rsidR="00B14BA3" w:rsidRPr="00CD5CE8">
        <w:t>обучающихся.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056FDB">
        <w:t xml:space="preserve"> </w:t>
      </w:r>
      <w:r w:rsidR="00B14BA3" w:rsidRPr="00CD5CE8">
        <w:t>Изменения</w:t>
      </w:r>
      <w:r w:rsidR="00056FDB">
        <w:t xml:space="preserve"> </w:t>
      </w:r>
      <w:r w:rsidR="00B14BA3" w:rsidRPr="00CD5CE8">
        <w:t>в</w:t>
      </w:r>
      <w:r w:rsidR="00056FDB">
        <w:t xml:space="preserve"> </w:t>
      </w:r>
      <w:r w:rsidR="00B14BA3" w:rsidRPr="00CD5CE8">
        <w:t>настоящее</w:t>
      </w:r>
      <w:r w:rsidR="00056FDB">
        <w:t xml:space="preserve"> </w:t>
      </w:r>
      <w:r w:rsidR="00B14BA3" w:rsidRPr="00CD5CE8">
        <w:t>Положение</w:t>
      </w:r>
      <w:r w:rsidR="00056FDB">
        <w:t xml:space="preserve"> </w:t>
      </w:r>
      <w:r w:rsidR="00B14BA3" w:rsidRPr="00CD5CE8">
        <w:t>вносятся</w:t>
      </w:r>
      <w:r w:rsidR="00056FDB">
        <w:t xml:space="preserve"> </w:t>
      </w:r>
      <w:r w:rsidR="00B14BA3" w:rsidRPr="00CD5CE8">
        <w:t>согласно</w:t>
      </w:r>
      <w:r w:rsidR="00056FDB">
        <w:t xml:space="preserve"> </w:t>
      </w:r>
      <w:r w:rsidR="00B14BA3" w:rsidRPr="00CD5CE8">
        <w:t>порядку,</w:t>
      </w:r>
      <w:r w:rsidR="00056FDB">
        <w:t xml:space="preserve"> </w:t>
      </w:r>
      <w:r w:rsidR="00B14BA3" w:rsidRPr="00CD5CE8">
        <w:t>предусмотренному</w:t>
      </w:r>
      <w:r w:rsidR="00056FDB">
        <w:t xml:space="preserve"> </w:t>
      </w:r>
      <w:r w:rsidR="00392277">
        <w:t>У</w:t>
      </w:r>
      <w:r w:rsidR="00B14BA3" w:rsidRPr="00CD5CE8">
        <w:t>ставом</w:t>
      </w:r>
      <w:r w:rsidR="00056FDB" w:rsidRPr="00056FDB">
        <w:t xml:space="preserve"> </w:t>
      </w:r>
      <w:r w:rsidR="00056FDB">
        <w:t>Гимназии №2</w:t>
      </w:r>
      <w:r w:rsidR="00B14BA3" w:rsidRPr="00CD5CE8">
        <w:t>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056FDB">
        <w:t xml:space="preserve"> </w:t>
      </w:r>
      <w:r w:rsidR="00B14BA3" w:rsidRPr="00CD5CE8">
        <w:t>Основания</w:t>
      </w:r>
      <w:r w:rsidR="00056FDB">
        <w:t xml:space="preserve"> </w:t>
      </w:r>
      <w:r w:rsidR="00B14BA3" w:rsidRPr="00CD5CE8">
        <w:t>для</w:t>
      </w:r>
      <w:r w:rsidR="00056FDB">
        <w:t xml:space="preserve"> </w:t>
      </w:r>
      <w:r w:rsidR="00B14BA3" w:rsidRPr="00CD5CE8">
        <w:t>внесения</w:t>
      </w:r>
      <w:r w:rsidR="00056FDB">
        <w:t xml:space="preserve"> </w:t>
      </w:r>
      <w:r w:rsidR="00B14BA3" w:rsidRPr="00CD5CE8">
        <w:t>изменений</w:t>
      </w:r>
      <w:r w:rsidR="00056FDB">
        <w:t xml:space="preserve"> </w:t>
      </w:r>
      <w:r w:rsidR="00B14BA3" w:rsidRPr="00CD5CE8">
        <w:t>в</w:t>
      </w:r>
      <w:r w:rsidR="00056FDB">
        <w:t xml:space="preserve"> </w:t>
      </w:r>
      <w:r w:rsidR="00B14BA3" w:rsidRPr="00CD5CE8">
        <w:t>настоящее</w:t>
      </w:r>
      <w:r w:rsidR="00056FDB">
        <w:t xml:space="preserve"> </w:t>
      </w:r>
      <w:r w:rsidR="00B14BA3" w:rsidRPr="00CD5CE8">
        <w:t>Положение: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056FDB">
        <w:t xml:space="preserve"> </w:t>
      </w:r>
      <w:r w:rsidR="00B14BA3" w:rsidRPr="00CD5CE8">
        <w:t>Текст</w:t>
      </w:r>
      <w:r w:rsidR="00056FDB">
        <w:t xml:space="preserve"> </w:t>
      </w:r>
      <w:r w:rsidR="00B14BA3" w:rsidRPr="00CD5CE8">
        <w:t>настоящего</w:t>
      </w:r>
      <w:r w:rsidR="00056FDB">
        <w:t xml:space="preserve"> </w:t>
      </w:r>
      <w:r w:rsidR="00B14BA3" w:rsidRPr="00CD5CE8">
        <w:t>Положения</w:t>
      </w:r>
      <w:r w:rsidR="00056FDB">
        <w:t xml:space="preserve"> </w:t>
      </w:r>
      <w:r w:rsidR="00B14BA3" w:rsidRPr="00CD5CE8">
        <w:t>подлежит</w:t>
      </w:r>
      <w:r w:rsidR="00056FDB">
        <w:t xml:space="preserve"> </w:t>
      </w:r>
      <w:r w:rsidR="00B14BA3" w:rsidRPr="00CD5CE8">
        <w:t>размещению</w:t>
      </w:r>
      <w:r w:rsidR="00056FDB">
        <w:t xml:space="preserve"> </w:t>
      </w:r>
      <w:r w:rsidR="00B14BA3" w:rsidRPr="00CD5CE8">
        <w:t>в</w:t>
      </w:r>
      <w:r w:rsidR="00056FDB">
        <w:t xml:space="preserve"> </w:t>
      </w:r>
      <w:r w:rsidR="00B14BA3" w:rsidRPr="00CD5CE8">
        <w:t>установленном</w:t>
      </w:r>
      <w:r w:rsidR="00056FDB">
        <w:t xml:space="preserve"> </w:t>
      </w:r>
      <w:r w:rsidR="00B14BA3" w:rsidRPr="00CD5CE8">
        <w:t>порядке</w:t>
      </w:r>
      <w:r w:rsidR="00056FDB">
        <w:t xml:space="preserve"> </w:t>
      </w:r>
      <w:r w:rsidR="00B14BA3" w:rsidRPr="00CD5CE8">
        <w:t>на</w:t>
      </w:r>
      <w:r w:rsidR="00056FDB">
        <w:t xml:space="preserve"> </w:t>
      </w:r>
      <w:r w:rsidR="00B14BA3" w:rsidRPr="00CD5CE8">
        <w:t>официальном</w:t>
      </w:r>
      <w:r w:rsidR="00056FDB">
        <w:t xml:space="preserve"> </w:t>
      </w:r>
      <w:r w:rsidR="00B14BA3" w:rsidRPr="00CD5CE8">
        <w:t>сайте</w:t>
      </w:r>
      <w:r w:rsidR="00056FDB">
        <w:t xml:space="preserve"> Гимназии №2</w:t>
      </w:r>
      <w:r w:rsidR="00B14BA3" w:rsidRPr="00CD5CE8">
        <w:t>.</w:t>
      </w:r>
    </w:p>
    <w:bookmarkEnd w:id="0"/>
    <w:p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/>
      </w:tblPr>
      <w:tblGrid>
        <w:gridCol w:w="2235"/>
        <w:gridCol w:w="7512"/>
      </w:tblGrid>
      <w:tr w:rsidR="00AB6A71" w:rsidRPr="00CD5CE8" w:rsidTr="002007BA">
        <w:tc>
          <w:tcPr>
            <w:tcW w:w="2235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512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2007BA">
        <w:tc>
          <w:tcPr>
            <w:tcW w:w="2235" w:type="dxa"/>
          </w:tcPr>
          <w:p w:rsidR="00AB6A71" w:rsidRPr="00CD5CE8" w:rsidRDefault="003B3DB3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Гимназии №2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предоставление учредителю и общественности отчета о результатах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2007BA">
        <w:tc>
          <w:tcPr>
            <w:tcW w:w="2235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="002007B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</w:t>
            </w:r>
            <w:r w:rsidR="002007BA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промежуточную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итоговую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не выносимым на ГИА;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разрабатывают, при участии IT- специалистов, шаблоны документирования оценочной информации, в т.ч. включаемой в отчет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 образовательными услугами и участников образовательных отношений;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рекомендации в дизайн электронной версии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, размещаемой на официальном сайте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выполняемому функционалу и в соответствии с приказом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2007BA">
        <w:tc>
          <w:tcPr>
            <w:tcW w:w="2235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512" w:type="dxa"/>
          </w:tcPr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2007BA">
        <w:tc>
          <w:tcPr>
            <w:tcW w:w="2235" w:type="dxa"/>
          </w:tcPr>
          <w:p w:rsidR="001D0D60" w:rsidRPr="00CD5CE8" w:rsidRDefault="00056FDB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</w:t>
            </w:r>
            <w:r w:rsidR="001D0D60" w:rsidRPr="00CD5CE8">
              <w:rPr>
                <w:rFonts w:ascii="Times New Roman" w:hAnsi="Times New Roman" w:cs="Times New Roman"/>
                <w:sz w:val="24"/>
                <w:szCs w:val="24"/>
              </w:rPr>
              <w:t>етодический совет</w:t>
            </w:r>
          </w:p>
        </w:tc>
        <w:tc>
          <w:tcPr>
            <w:tcW w:w="7512" w:type="dxa"/>
          </w:tcPr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spellStart"/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6A71" w:rsidRPr="00CD5CE8" w:rsidTr="002007BA">
        <w:tc>
          <w:tcPr>
            <w:tcW w:w="2235" w:type="dxa"/>
          </w:tcPr>
          <w:p w:rsidR="00AB6A71" w:rsidRPr="00CD5CE8" w:rsidRDefault="00AB6A71" w:rsidP="00056FD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056FDB">
              <w:rPr>
                <w:rFonts w:ascii="Times New Roman" w:hAnsi="Times New Roman" w:cs="Times New Roman"/>
                <w:sz w:val="24"/>
                <w:szCs w:val="24"/>
              </w:rPr>
              <w:t xml:space="preserve">кафедр и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 w:rsidR="00056FD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056F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</w:tcPr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осуществлению обратной связи с участниками образовательных отношений в вопросах доступности информации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="003B3DB3"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контрольно-оценочных процедур; 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6A71" w:rsidRPr="00CD5CE8" w:rsidTr="002007BA">
        <w:tc>
          <w:tcPr>
            <w:tcW w:w="2235" w:type="dxa"/>
          </w:tcPr>
          <w:p w:rsidR="00AB6A71" w:rsidRPr="003B3DB3" w:rsidRDefault="003B3DB3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ИОП</w:t>
            </w:r>
          </w:p>
        </w:tc>
        <w:tc>
          <w:tcPr>
            <w:tcW w:w="7512" w:type="dxa"/>
          </w:tcPr>
          <w:p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автоматизации процедур подготовки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и прочих информационно-аналитических продуктов ВСОКО;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размещение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техническое сопровождение подготовки, размещения и последующего обновления электронной версии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2007BA">
        <w:tc>
          <w:tcPr>
            <w:tcW w:w="2235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512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текущий контроль успеваемости в соответствии с принятым в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своевременной оценочной информацией курирующего заместителя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2007BA">
        <w:tc>
          <w:tcPr>
            <w:tcW w:w="2235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Проектные группы</w:t>
            </w:r>
          </w:p>
        </w:tc>
        <w:tc>
          <w:tcPr>
            <w:tcW w:w="7512" w:type="dxa"/>
          </w:tcPr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</w:t>
            </w:r>
            <w:r w:rsidR="003B3DB3">
              <w:rPr>
                <w:rFonts w:ascii="Times New Roman" w:hAnsi="Times New Roman" w:cs="Times New Roman"/>
                <w:sz w:val="24"/>
                <w:szCs w:val="24"/>
              </w:rPr>
              <w:t>Гимназии №2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</w:tbl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9"/>
        <w:gridCol w:w="2799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2007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индивидуальных учебных планов </w:t>
            </w:r>
            <w:proofErr w:type="gramStart"/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 с низкой мотиваци</w:t>
            </w:r>
            <w:r w:rsidR="0020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2007B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20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Гимназии №2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 </w:t>
            </w:r>
            <w:proofErr w:type="spell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очно-заочной</w:t>
            </w:r>
            <w:proofErr w:type="spell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8-9-х классов, реализующих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учебного плана ООП требованиям </w:t>
            </w:r>
            <w:proofErr w:type="spell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F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F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F56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учебного плана ООП требованиям 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по 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0C091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</w:t>
            </w:r>
            <w:proofErr w:type="gramStart"/>
            <w:r w:rsidRPr="00CD5CE8">
              <w:rPr>
                <w:sz w:val="23"/>
                <w:szCs w:val="23"/>
              </w:rPr>
              <w:t>работы</w:t>
            </w:r>
            <w:proofErr w:type="gramEnd"/>
            <w:r w:rsidRPr="00CD5CE8">
              <w:rPr>
                <w:sz w:val="23"/>
                <w:szCs w:val="23"/>
              </w:rPr>
              <w:t xml:space="preserve">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педагогических работников с вмененным функционалом </w:t>
            </w:r>
            <w:proofErr w:type="spellStart"/>
            <w:r w:rsidRPr="00CD5CE8">
              <w:rPr>
                <w:sz w:val="23"/>
                <w:szCs w:val="23"/>
              </w:rPr>
              <w:t>тьютора</w:t>
            </w:r>
            <w:proofErr w:type="spellEnd"/>
            <w:r w:rsidRPr="00CD5CE8">
              <w:rPr>
                <w:sz w:val="23"/>
                <w:szCs w:val="23"/>
              </w:rPr>
              <w:t xml:space="preserve">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 xml:space="preserve">Условия для индивидуальной работы с </w:t>
            </w:r>
            <w:proofErr w:type="gramStart"/>
            <w:r w:rsidRPr="00CD5CE8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CD5CE8">
              <w:rPr>
                <w:rFonts w:ascii="Times New Roman" w:hAnsi="Times New Roman" w:cs="Times New Roman"/>
                <w:b/>
              </w:rPr>
              <w:t>, в том числе обучающимися с ОВЗ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оборудованных образовательных простран</w:t>
            </w:r>
            <w:proofErr w:type="gramStart"/>
            <w:r w:rsidRPr="00CD5CE8">
              <w:rPr>
                <w:sz w:val="23"/>
                <w:szCs w:val="23"/>
              </w:rPr>
              <w:t>ств дл</w:t>
            </w:r>
            <w:proofErr w:type="gramEnd"/>
            <w:r w:rsidRPr="00CD5CE8">
              <w:rPr>
                <w:sz w:val="23"/>
                <w:szCs w:val="23"/>
              </w:rPr>
              <w:t xml:space="preserve">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</w:t>
            </w:r>
            <w:proofErr w:type="spellStart"/>
            <w:r w:rsidRPr="00CD5CE8">
              <w:rPr>
                <w:sz w:val="23"/>
                <w:szCs w:val="23"/>
              </w:rPr>
              <w:t>медиатекой</w:t>
            </w:r>
            <w:proofErr w:type="spellEnd"/>
            <w:r w:rsidRPr="00CD5CE8">
              <w:rPr>
                <w:sz w:val="23"/>
                <w:szCs w:val="23"/>
              </w:rPr>
              <w:t xml:space="preserve">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9C7615" w:rsidRPr="00D20A3D" w:rsidRDefault="009C7615" w:rsidP="00F5626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Электрощитовая</w:t>
            </w:r>
            <w:proofErr w:type="spellEnd"/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F5626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F5626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F5626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Охват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F5626A">
        <w:tblPrEx>
          <w:tblLook w:val="04A0"/>
        </w:tblPrEx>
        <w:tc>
          <w:tcPr>
            <w:tcW w:w="851" w:type="dxa"/>
            <w:gridSpan w:val="2"/>
          </w:tcPr>
          <w:p w:rsidR="009E037F" w:rsidRPr="009E037F" w:rsidRDefault="009E037F" w:rsidP="00F5626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F5626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F5626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0508FC" w:rsidRDefault="006E6097" w:rsidP="000508FC">
            <w:pPr>
              <w:pStyle w:val="af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08FC">
              <w:rPr>
                <w:rFonts w:ascii="Times New Roman" w:hAnsi="Times New Roman" w:cs="Times New Roman"/>
                <w:b/>
                <w:sz w:val="23"/>
                <w:szCs w:val="23"/>
              </w:rPr>
              <w:t>Качеств</w:t>
            </w:r>
            <w:r w:rsidR="000508FC" w:rsidRPr="000508FC">
              <w:rPr>
                <w:rFonts w:ascii="Times New Roman" w:hAnsi="Times New Roman" w:cs="Times New Roman"/>
                <w:b/>
                <w:sz w:val="23"/>
                <w:szCs w:val="23"/>
              </w:rPr>
              <w:t>о информационно-образовательной с</w:t>
            </w:r>
            <w:r w:rsidRPr="000508FC">
              <w:rPr>
                <w:rFonts w:ascii="Times New Roman" w:hAnsi="Times New Roman" w:cs="Times New Roman"/>
                <w:b/>
                <w:sz w:val="23"/>
                <w:szCs w:val="23"/>
              </w:rPr>
              <w:t>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="00056FDB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Количество </w:t>
            </w:r>
            <w:proofErr w:type="spellStart"/>
            <w:r w:rsidRPr="00CD5CE8">
              <w:rPr>
                <w:sz w:val="23"/>
                <w:szCs w:val="23"/>
              </w:rPr>
              <w:t>мультимедийных</w:t>
            </w:r>
            <w:proofErr w:type="spellEnd"/>
            <w:r w:rsidRPr="00CD5CE8">
              <w:rPr>
                <w:sz w:val="23"/>
                <w:szCs w:val="23"/>
              </w:rPr>
              <w:t xml:space="preserve">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Количество </w:t>
            </w:r>
            <w:proofErr w:type="spellStart"/>
            <w:r w:rsidRPr="00CD5CE8">
              <w:rPr>
                <w:sz w:val="23"/>
                <w:szCs w:val="23"/>
              </w:rPr>
              <w:t>мультимедийных</w:t>
            </w:r>
            <w:proofErr w:type="spellEnd"/>
            <w:r w:rsidRPr="00CD5CE8">
              <w:rPr>
                <w:sz w:val="23"/>
                <w:szCs w:val="23"/>
              </w:rPr>
              <w:t xml:space="preserve">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="00056FDB">
              <w:rPr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="00056FDB">
              <w:rPr>
                <w:sz w:val="23"/>
                <w:szCs w:val="23"/>
              </w:rPr>
              <w:t xml:space="preserve"> </w:t>
            </w:r>
            <w:proofErr w:type="spellStart"/>
            <w:r w:rsidRPr="00CD5CE8">
              <w:rPr>
                <w:sz w:val="23"/>
                <w:szCs w:val="23"/>
              </w:rPr>
              <w:t>приносяшей</w:t>
            </w:r>
            <w:proofErr w:type="spellEnd"/>
            <w:r w:rsidRPr="00CD5CE8">
              <w:rPr>
                <w:sz w:val="23"/>
                <w:szCs w:val="23"/>
              </w:rPr>
              <w:t xml:space="preserve">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="00056FDB">
              <w:rPr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3B41D2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формах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периодичности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текущего </w:t>
      </w:r>
      <w:r w:rsidR="001A7CC4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промежуточной аттестации в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перевода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</w:t>
      </w:r>
      <w:r w:rsidR="00056FD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униципальном </w:t>
      </w:r>
      <w:r w:rsidR="003B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 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общеобразовательном учреждении </w:t>
      </w:r>
      <w:r w:rsidR="00056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№2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приказом директора </w:t>
      </w:r>
      <w:r w:rsidR="003B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гимназии </w:t>
      </w:r>
      <w:r w:rsidR="001A7CC4" w:rsidRPr="003B41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 01-07/350 от 30.10.2020.</w:t>
      </w:r>
    </w:p>
    <w:p w:rsidR="00F70E8D" w:rsidRPr="00816C40" w:rsidRDefault="00F70E8D" w:rsidP="001A7C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</w:t>
      </w:r>
      <w:proofErr w:type="spellStart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с </w:t>
      </w:r>
      <w:bookmarkStart w:id="1" w:name="_Hlk81230903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учета индивидуальных достижений обучающихся</w:t>
      </w:r>
      <w:bookmarkEnd w:id="1"/>
      <w:r w:rsidR="003B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A7CC4" w:rsidRP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3B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="001A7CC4" w:rsidRP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3B41D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№2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приказом директора </w:t>
      </w:r>
      <w:r w:rsidR="003B41D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CC4" w:rsidRPr="00816C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 30.08.2019 №01-07/349.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27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8210"/>
        <w:gridCol w:w="1595"/>
      </w:tblGrid>
      <w:tr w:rsidR="00F70E8D" w:rsidRPr="00CD5CE8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/ удельный вес численности выпускников 11-х классов, получивших аттестаты о среднем общем образовании с отличием, в общей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численности выпускников 11-х классов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  <w:proofErr w:type="gram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1D1663">
        <w:trPr>
          <w:tblCellSpacing w:w="5" w:type="nil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F56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</w:p>
    <w:p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</w:t>
      </w:r>
      <w:proofErr w:type="spellStart"/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развития личностных образовательных результатов </w:t>
      </w:r>
    </w:p>
    <w:tbl>
      <w:tblPr>
        <w:tblStyle w:val="aa"/>
        <w:tblW w:w="10314" w:type="dxa"/>
        <w:tblLayout w:type="fixed"/>
        <w:tblLook w:val="000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:rsidTr="00F5626A">
        <w:trPr>
          <w:trHeight w:val="20"/>
          <w:tblHeader/>
        </w:trPr>
        <w:tc>
          <w:tcPr>
            <w:tcW w:w="1526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 xml:space="preserve">Показатель </w:t>
            </w:r>
            <w:proofErr w:type="spellStart"/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сформированности</w:t>
            </w:r>
            <w:proofErr w:type="spellEnd"/>
          </w:p>
        </w:tc>
        <w:tc>
          <w:tcPr>
            <w:tcW w:w="2835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:rsidTr="00F5626A">
        <w:trPr>
          <w:trHeight w:val="60"/>
          <w:tblHeader/>
        </w:trPr>
        <w:tc>
          <w:tcPr>
            <w:tcW w:w="1526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F5626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:rsidTr="00F5626A">
        <w:trPr>
          <w:trHeight w:val="1476"/>
        </w:trPr>
        <w:tc>
          <w:tcPr>
            <w:tcW w:w="152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личностных УУД</w:t>
            </w: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:rsidTr="00F5626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F5626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F5626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портфолио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подтверждающие социально-культурный опыт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F5626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этапе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предпрофильной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подготовки и по окончании уровня основного общего образования</w:t>
            </w:r>
          </w:p>
        </w:tc>
      </w:tr>
      <w:tr w:rsidR="00C544CD" w:rsidRPr="00C544CD" w:rsidTr="00F5626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Классный руководитель,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1417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F5626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proofErr w:type="spell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ектов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gram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соответствующих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рекомендованному профилю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тель,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1417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F5626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F5626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F5626A">
        <w:trPr>
          <w:trHeight w:val="2235"/>
        </w:trPr>
        <w:tc>
          <w:tcPr>
            <w:tcW w:w="1526" w:type="dxa"/>
            <w:vMerge/>
          </w:tcPr>
          <w:p w:rsidR="00C544CD" w:rsidRPr="00C544CD" w:rsidRDefault="00C544CD" w:rsidP="00F5626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F5626A">
        <w:trPr>
          <w:trHeight w:val="1802"/>
        </w:trPr>
        <w:tc>
          <w:tcPr>
            <w:tcW w:w="1526" w:type="dxa"/>
            <w:textDirection w:val="btLr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культуры здорового образа жизни</w:t>
            </w: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F5626A">
        <w:trPr>
          <w:trHeight w:val="1256"/>
        </w:trPr>
        <w:tc>
          <w:tcPr>
            <w:tcW w:w="1526" w:type="dxa"/>
            <w:textDirection w:val="btLr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ценностного отношения к труду</w:t>
            </w: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F5626A">
        <w:trPr>
          <w:trHeight w:val="1487"/>
        </w:trPr>
        <w:tc>
          <w:tcPr>
            <w:tcW w:w="1526" w:type="dxa"/>
            <w:textDirection w:val="btLr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основ экологической культуры</w:t>
            </w:r>
          </w:p>
        </w:tc>
        <w:tc>
          <w:tcPr>
            <w:tcW w:w="2126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портфолио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подтверждающие социально-культурный опыт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C544CD" w:rsidRPr="00C544CD" w:rsidRDefault="00C544CD" w:rsidP="00F5626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F5626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 xml:space="preserve">Оценка </w:t>
      </w:r>
      <w:proofErr w:type="spellStart"/>
      <w:r w:rsidRPr="00DA2B43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DA2B43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образовательных результатов</w:t>
      </w:r>
    </w:p>
    <w:p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1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2238"/>
        <w:gridCol w:w="2236"/>
        <w:gridCol w:w="2096"/>
        <w:gridCol w:w="1959"/>
      </w:tblGrid>
      <w:tr w:rsidR="00BE3E7E" w:rsidRPr="00DA2B43" w:rsidTr="00816C40">
        <w:tc>
          <w:tcPr>
            <w:tcW w:w="808" w:type="pct"/>
            <w:vMerge w:val="restar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3229" w:type="pct"/>
            <w:gridSpan w:val="3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Критерии оценки </w:t>
            </w:r>
            <w:proofErr w:type="spellStart"/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96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:rsidTr="00816C40">
        <w:trPr>
          <w:trHeight w:val="641"/>
        </w:trPr>
        <w:tc>
          <w:tcPr>
            <w:tcW w:w="808" w:type="pct"/>
            <w:vMerge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начального</w:t>
            </w:r>
            <w:proofErr w:type="gramEnd"/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99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29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964" w:type="pct"/>
            <w:vMerge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c>
          <w:tcPr>
            <w:tcW w:w="808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понятия </w:t>
            </w:r>
          </w:p>
        </w:tc>
        <w:tc>
          <w:tcPr>
            <w:tcW w:w="3229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96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:rsidTr="00816C40">
        <w:tc>
          <w:tcPr>
            <w:tcW w:w="808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229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964" w:type="pct"/>
            <w:vMerge w:val="restart"/>
          </w:tcPr>
          <w:p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:rsidTr="00816C40">
        <w:tc>
          <w:tcPr>
            <w:tcW w:w="808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29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64" w:type="pct"/>
            <w:vMerge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c>
          <w:tcPr>
            <w:tcW w:w="808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29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96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c>
          <w:tcPr>
            <w:tcW w:w="808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29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6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c>
          <w:tcPr>
            <w:tcW w:w="808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9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понимать причины успеха/неуспеха учебной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способность действовать в ситуациях неуспеха</w:t>
            </w:r>
          </w:p>
        </w:tc>
        <w:tc>
          <w:tcPr>
            <w:tcW w:w="96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c>
          <w:tcPr>
            <w:tcW w:w="808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3229" w:type="pct"/>
            <w:gridSpan w:val="3"/>
          </w:tcPr>
          <w:p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96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:rsidTr="00816C40">
        <w:trPr>
          <w:trHeight w:val="3130"/>
        </w:trPr>
        <w:tc>
          <w:tcPr>
            <w:tcW w:w="808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0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средствпри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задач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:rsidR="00BE3E7E" w:rsidRPr="00437E5C" w:rsidRDefault="00BE3E7E" w:rsidP="00625F7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индивидуальных проектов с использованием ИКТ и применения знаково-символических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презентации проекта </w:t>
            </w:r>
          </w:p>
        </w:tc>
        <w:tc>
          <w:tcPr>
            <w:tcW w:w="964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rPr>
          <w:trHeight w:val="615"/>
        </w:trPr>
        <w:tc>
          <w:tcPr>
            <w:tcW w:w="808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9" w:type="pct"/>
            <w:gridSpan w:val="3"/>
          </w:tcPr>
          <w:p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964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rPr>
          <w:trHeight w:val="4386"/>
        </w:trPr>
        <w:tc>
          <w:tcPr>
            <w:tcW w:w="808" w:type="pct"/>
            <w:tcBorders>
              <w:bottom w:val="single" w:sz="4" w:space="0" w:color="000000"/>
            </w:tcBorders>
          </w:tcPr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обработкиинформации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099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создания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мета-текстов</w:t>
            </w:r>
            <w:proofErr w:type="spellEnd"/>
            <w:proofErr w:type="gramEnd"/>
          </w:p>
        </w:tc>
        <w:tc>
          <w:tcPr>
            <w:tcW w:w="964" w:type="pct"/>
            <w:vMerge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rPr>
          <w:trHeight w:val="483"/>
        </w:trPr>
        <w:tc>
          <w:tcPr>
            <w:tcW w:w="808" w:type="pct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9" w:type="pct"/>
            <w:gridSpan w:val="3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964" w:type="pct"/>
            <w:vMerge w:val="restar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:rsidTr="00816C40">
        <w:trPr>
          <w:trHeight w:val="1265"/>
        </w:trPr>
        <w:tc>
          <w:tcPr>
            <w:tcW w:w="808" w:type="pct"/>
          </w:tcPr>
          <w:p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причинно-следственные связи, строить 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умозаключение и делать выводы</w:t>
            </w:r>
          </w:p>
        </w:tc>
        <w:tc>
          <w:tcPr>
            <w:tcW w:w="1029" w:type="pc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самооценки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логических операций.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и 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964" w:type="pct"/>
            <w:vMerge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c>
          <w:tcPr>
            <w:tcW w:w="808" w:type="pct"/>
            <w:vMerge w:val="restar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00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целями коммуникации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целями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29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целями коммуникации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:rsidTr="00816C40">
        <w:tc>
          <w:tcPr>
            <w:tcW w:w="808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29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64" w:type="pct"/>
            <w:vMerge w:val="restar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ходом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</w:t>
            </w:r>
          </w:p>
        </w:tc>
      </w:tr>
      <w:tr w:rsidR="00BE3E7E" w:rsidRPr="00DA2B43" w:rsidTr="00816C40">
        <w:tc>
          <w:tcPr>
            <w:tcW w:w="808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099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29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96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:rsidTr="00816C40">
        <w:tc>
          <w:tcPr>
            <w:tcW w:w="808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9" w:type="pct"/>
            <w:gridSpan w:val="3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964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E3E7E" w:rsidRDefault="00BE3E7E" w:rsidP="00BE3E7E"/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</w:t>
      </w:r>
      <w:proofErr w:type="spellStart"/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самообследовании</w:t>
      </w:r>
      <w:proofErr w:type="spellEnd"/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Общий вывод о результатах </w:t>
      </w:r>
      <w:proofErr w:type="spellStart"/>
      <w:r w:rsidRPr="00B77F0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расширить перечень критериев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9493" w:type="dxa"/>
        <w:tblLayout w:type="fixed"/>
        <w:tblLook w:val="04A0"/>
      </w:tblPr>
      <w:tblGrid>
        <w:gridCol w:w="988"/>
        <w:gridCol w:w="2693"/>
        <w:gridCol w:w="5812"/>
      </w:tblGrid>
      <w:tr w:rsidR="00CD5CE8" w:rsidRPr="00B77F05" w:rsidTr="00DE4033">
        <w:tc>
          <w:tcPr>
            <w:tcW w:w="988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:rsidR="00CD5CE8" w:rsidRPr="00B77F05" w:rsidRDefault="00CD5CE8" w:rsidP="0062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625F7F">
            <w:pPr>
              <w:spacing w:after="1" w:line="248" w:lineRule="auto"/>
              <w:ind w:left="5" w:righ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625F7F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CD5CE8" w:rsidRPr="00B77F05" w:rsidRDefault="00CD5CE8" w:rsidP="0062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:rsidR="00CD5CE8" w:rsidRPr="00B77F05" w:rsidRDefault="00CD5CE8" w:rsidP="00625F7F">
            <w:pPr>
              <w:spacing w:after="15"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625F7F">
            <w:pPr>
              <w:tabs>
                <w:tab w:val="center" w:pos="3259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подготовки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812" w:type="dxa"/>
          </w:tcPr>
          <w:p w:rsidR="00CD5CE8" w:rsidRPr="00B77F05" w:rsidRDefault="00CD5CE8" w:rsidP="00625F7F">
            <w:pPr>
              <w:spacing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ООП.</w:t>
            </w:r>
          </w:p>
          <w:p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, осваивающих ООП по уровням общего образования:</w:t>
            </w:r>
          </w:p>
          <w:p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625F7F">
            <w:pPr>
              <w:spacing w:line="252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625F7F">
            <w:pPr>
              <w:spacing w:line="259" w:lineRule="auto"/>
              <w:ind w:left="34" w:right="62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дополнительных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программ.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объединениях дополнительного образования по каждому направлению.</w:t>
            </w:r>
            <w:proofErr w:type="gramEnd"/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порог в общегородских обязательных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диагностиках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ООП того или иного уровня,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6A7949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востребованност</w:t>
            </w:r>
            <w:r w:rsidR="006A79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</w:t>
            </w:r>
            <w:r w:rsidR="006A7949">
              <w:rPr>
                <w:rFonts w:ascii="Times New Roman" w:hAnsi="Times New Roman" w:cs="Times New Roman"/>
                <w:sz w:val="24"/>
                <w:szCs w:val="24"/>
              </w:rPr>
              <w:t>овое обеспечение образовательно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DB3" w:rsidRDefault="003B3DB3" w:rsidP="00AB6A71">
      <w:pPr>
        <w:spacing w:after="0" w:line="240" w:lineRule="auto"/>
      </w:pPr>
      <w:r>
        <w:separator/>
      </w:r>
    </w:p>
  </w:endnote>
  <w:endnote w:type="continuationSeparator" w:id="1">
    <w:p w:rsidR="003B3DB3" w:rsidRDefault="003B3DB3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B3" w:rsidRDefault="003B3DB3" w:rsidP="00AB6A71">
      <w:pPr>
        <w:spacing w:after="0" w:line="240" w:lineRule="auto"/>
      </w:pPr>
      <w:r>
        <w:separator/>
      </w:r>
    </w:p>
  </w:footnote>
  <w:footnote w:type="continuationSeparator" w:id="1">
    <w:p w:rsidR="003B3DB3" w:rsidRDefault="003B3DB3" w:rsidP="00AB6A71">
      <w:pPr>
        <w:spacing w:after="0" w:line="240" w:lineRule="auto"/>
      </w:pPr>
      <w:r>
        <w:continuationSeparator/>
      </w:r>
    </w:p>
  </w:footnote>
  <w:footnote w:id="2">
    <w:p w:rsidR="003B3DB3" w:rsidRDefault="003B3DB3" w:rsidP="00AB6A71">
      <w:pPr>
        <w:pStyle w:val="a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F5273"/>
    <w:multiLevelType w:val="multilevel"/>
    <w:tmpl w:val="174E74B8"/>
    <w:lvl w:ilvl="0">
      <w:start w:val="1"/>
      <w:numFmt w:val="decimal"/>
      <w:lvlText w:val="%1."/>
      <w:lvlJc w:val="left"/>
      <w:pPr>
        <w:ind w:left="1823" w:hanging="1114"/>
      </w:pPr>
      <w:rPr>
        <w:rFonts w:cs="Mangal" w:hint="default"/>
      </w:rPr>
    </w:lvl>
    <w:lvl w:ilvl="1">
      <w:start w:val="1"/>
      <w:numFmt w:val="decimal"/>
      <w:isLgl/>
      <w:lvlText w:val="%1.%2."/>
      <w:lvlJc w:val="left"/>
      <w:pPr>
        <w:ind w:left="1510" w:hanging="376"/>
      </w:pPr>
      <w:rPr>
        <w:rFonts w:cs="Mangal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cs="Mangal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cs="Mangal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cs="Mangal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cs="Mangal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Mangal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cs="Mangal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cs="Mangal" w:hint="default"/>
        <w:color w:val="000000" w:themeColor="text1"/>
      </w:rPr>
    </w:lvl>
  </w:abstractNum>
  <w:abstractNum w:abstractNumId="4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630C2"/>
    <w:multiLevelType w:val="multilevel"/>
    <w:tmpl w:val="695C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F751DB"/>
    <w:multiLevelType w:val="hybridMultilevel"/>
    <w:tmpl w:val="D5AA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25059A"/>
    <w:multiLevelType w:val="hybridMultilevel"/>
    <w:tmpl w:val="1EA6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4"/>
  </w:num>
  <w:num w:numId="5">
    <w:abstractNumId w:val="0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9"/>
  </w:num>
  <w:num w:numId="11">
    <w:abstractNumId w:val="22"/>
  </w:num>
  <w:num w:numId="12">
    <w:abstractNumId w:val="5"/>
  </w:num>
  <w:num w:numId="13">
    <w:abstractNumId w:val="18"/>
  </w:num>
  <w:num w:numId="14">
    <w:abstractNumId w:val="1"/>
  </w:num>
  <w:num w:numId="15">
    <w:abstractNumId w:val="24"/>
  </w:num>
  <w:num w:numId="16">
    <w:abstractNumId w:val="14"/>
  </w:num>
  <w:num w:numId="17">
    <w:abstractNumId w:val="12"/>
  </w:num>
  <w:num w:numId="18">
    <w:abstractNumId w:val="7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5"/>
  </w:num>
  <w:num w:numId="24">
    <w:abstractNumId w:val="3"/>
  </w:num>
  <w:num w:numId="25">
    <w:abstractNumId w:val="2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BA3"/>
    <w:rsid w:val="00023DCE"/>
    <w:rsid w:val="00025543"/>
    <w:rsid w:val="0003459F"/>
    <w:rsid w:val="00046717"/>
    <w:rsid w:val="00050821"/>
    <w:rsid w:val="000508FC"/>
    <w:rsid w:val="00056FDB"/>
    <w:rsid w:val="00067630"/>
    <w:rsid w:val="00073275"/>
    <w:rsid w:val="000A3546"/>
    <w:rsid w:val="000A5EE7"/>
    <w:rsid w:val="000C0917"/>
    <w:rsid w:val="00100278"/>
    <w:rsid w:val="0012086C"/>
    <w:rsid w:val="00126667"/>
    <w:rsid w:val="00134F33"/>
    <w:rsid w:val="00140363"/>
    <w:rsid w:val="00141C72"/>
    <w:rsid w:val="00161864"/>
    <w:rsid w:val="00165BE5"/>
    <w:rsid w:val="001A276C"/>
    <w:rsid w:val="001A7CC4"/>
    <w:rsid w:val="001D0D60"/>
    <w:rsid w:val="001D1663"/>
    <w:rsid w:val="002007BA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C1104"/>
    <w:rsid w:val="002D0B36"/>
    <w:rsid w:val="003001AB"/>
    <w:rsid w:val="00301D27"/>
    <w:rsid w:val="00311C91"/>
    <w:rsid w:val="003123AB"/>
    <w:rsid w:val="00312D84"/>
    <w:rsid w:val="003377AE"/>
    <w:rsid w:val="003834F6"/>
    <w:rsid w:val="00392277"/>
    <w:rsid w:val="003B3DB3"/>
    <w:rsid w:val="003B41D2"/>
    <w:rsid w:val="003E26CA"/>
    <w:rsid w:val="00402F50"/>
    <w:rsid w:val="00433DF9"/>
    <w:rsid w:val="004613E9"/>
    <w:rsid w:val="00464B8B"/>
    <w:rsid w:val="00476FCB"/>
    <w:rsid w:val="0047782F"/>
    <w:rsid w:val="00490BA2"/>
    <w:rsid w:val="00494917"/>
    <w:rsid w:val="004A3409"/>
    <w:rsid w:val="004B4B74"/>
    <w:rsid w:val="004E148D"/>
    <w:rsid w:val="004E4515"/>
    <w:rsid w:val="004F24F0"/>
    <w:rsid w:val="004F2EE2"/>
    <w:rsid w:val="004F5EBC"/>
    <w:rsid w:val="0051024D"/>
    <w:rsid w:val="00510D6D"/>
    <w:rsid w:val="00514821"/>
    <w:rsid w:val="0053453B"/>
    <w:rsid w:val="00571597"/>
    <w:rsid w:val="0057734F"/>
    <w:rsid w:val="005A6783"/>
    <w:rsid w:val="005E2EE2"/>
    <w:rsid w:val="005F65CE"/>
    <w:rsid w:val="00601B28"/>
    <w:rsid w:val="00625F7F"/>
    <w:rsid w:val="006821B1"/>
    <w:rsid w:val="006A7949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1ACD"/>
    <w:rsid w:val="007A6ABD"/>
    <w:rsid w:val="007B4F6C"/>
    <w:rsid w:val="007B563F"/>
    <w:rsid w:val="007D2B68"/>
    <w:rsid w:val="007F37FE"/>
    <w:rsid w:val="00816C40"/>
    <w:rsid w:val="008213FC"/>
    <w:rsid w:val="008315F4"/>
    <w:rsid w:val="008564F8"/>
    <w:rsid w:val="008671C7"/>
    <w:rsid w:val="00892804"/>
    <w:rsid w:val="008A59DD"/>
    <w:rsid w:val="008C7581"/>
    <w:rsid w:val="008E0F60"/>
    <w:rsid w:val="008E1F79"/>
    <w:rsid w:val="009139EA"/>
    <w:rsid w:val="00914B01"/>
    <w:rsid w:val="0097124F"/>
    <w:rsid w:val="00990972"/>
    <w:rsid w:val="009A2B87"/>
    <w:rsid w:val="009A4B87"/>
    <w:rsid w:val="009C448A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A7B7C"/>
    <w:rsid w:val="00AB52F1"/>
    <w:rsid w:val="00AB6A71"/>
    <w:rsid w:val="00AC0CCE"/>
    <w:rsid w:val="00AF6C1E"/>
    <w:rsid w:val="00AF7E00"/>
    <w:rsid w:val="00B14BA3"/>
    <w:rsid w:val="00B235CC"/>
    <w:rsid w:val="00B26EBF"/>
    <w:rsid w:val="00B4109D"/>
    <w:rsid w:val="00BB341C"/>
    <w:rsid w:val="00BE3E7E"/>
    <w:rsid w:val="00BE5B6D"/>
    <w:rsid w:val="00BF52DF"/>
    <w:rsid w:val="00C544CD"/>
    <w:rsid w:val="00C607F0"/>
    <w:rsid w:val="00C72129"/>
    <w:rsid w:val="00C85E97"/>
    <w:rsid w:val="00C85F80"/>
    <w:rsid w:val="00C919CF"/>
    <w:rsid w:val="00CB3436"/>
    <w:rsid w:val="00CB5320"/>
    <w:rsid w:val="00CB6938"/>
    <w:rsid w:val="00CD00BB"/>
    <w:rsid w:val="00CD5CE8"/>
    <w:rsid w:val="00CD5FF3"/>
    <w:rsid w:val="00D140C9"/>
    <w:rsid w:val="00D43C9D"/>
    <w:rsid w:val="00D541B4"/>
    <w:rsid w:val="00D7473A"/>
    <w:rsid w:val="00DB209B"/>
    <w:rsid w:val="00DB5130"/>
    <w:rsid w:val="00DC44A1"/>
    <w:rsid w:val="00DD14A8"/>
    <w:rsid w:val="00DE192C"/>
    <w:rsid w:val="00DE4033"/>
    <w:rsid w:val="00DE51E8"/>
    <w:rsid w:val="00E124EB"/>
    <w:rsid w:val="00E22FD6"/>
    <w:rsid w:val="00E31280"/>
    <w:rsid w:val="00E45765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5626A"/>
    <w:rsid w:val="00F64220"/>
    <w:rsid w:val="00F67A73"/>
    <w:rsid w:val="00F70E8D"/>
    <w:rsid w:val="00F73600"/>
    <w:rsid w:val="00F7527E"/>
    <w:rsid w:val="00F95028"/>
    <w:rsid w:val="00FA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6D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7B4F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CD37-7CEC-4865-A2E2-872C0755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31</Pages>
  <Words>10495</Words>
  <Characters>59827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УВР</cp:lastModifiedBy>
  <cp:revision>24</cp:revision>
  <cp:lastPrinted>2022-11-09T08:37:00Z</cp:lastPrinted>
  <dcterms:created xsi:type="dcterms:W3CDTF">2021-08-30T13:16:00Z</dcterms:created>
  <dcterms:modified xsi:type="dcterms:W3CDTF">2022-11-09T08:43:00Z</dcterms:modified>
</cp:coreProperties>
</file>