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53" w:type="dxa"/>
        <w:tblCellMar>
          <w:left w:w="0" w:type="dxa"/>
          <w:right w:w="0" w:type="dxa"/>
        </w:tblCellMar>
        <w:tblLook w:val="04A0"/>
      </w:tblPr>
      <w:tblGrid>
        <w:gridCol w:w="4863"/>
        <w:gridCol w:w="4090"/>
      </w:tblGrid>
      <w:tr w:rsidR="00037E67" w:rsidRPr="00037E67" w:rsidTr="00037E67">
        <w:tc>
          <w:tcPr>
            <w:tcW w:w="4863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C72585" w:rsidP="0003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-1061085</wp:posOffset>
                  </wp:positionH>
                  <wp:positionV relativeFrom="paragraph">
                    <wp:posOffset>-429895</wp:posOffset>
                  </wp:positionV>
                  <wp:extent cx="7542530" cy="10626725"/>
                  <wp:effectExtent l="19050" t="0" r="1270" b="0"/>
                  <wp:wrapNone/>
                  <wp:docPr id="1" name="Рисунок 1" descr="\\Zamdir\d\Двойникова\для сайта\17-18\локальные акты для сайта по коррупции\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Zamdir\d\Двойникова\для сайта\17-18\локальные акты для сайта по коррупции\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2530" cy="1062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037E67" w:rsidRPr="00824648" w:rsidRDefault="00824648" w:rsidP="0003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037E67" w:rsidRPr="00824648" w:rsidRDefault="00824648" w:rsidP="0003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Гимназии №2</w:t>
            </w:r>
          </w:p>
          <w:p w:rsidR="00037E67" w:rsidRPr="00824648" w:rsidRDefault="00824648" w:rsidP="0003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6</w:t>
            </w:r>
          </w:p>
          <w:p w:rsidR="00037E67" w:rsidRPr="00824648" w:rsidRDefault="00824648" w:rsidP="0003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09.04.2018</w:t>
            </w:r>
            <w:r w:rsidR="00037E67"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037E67" w:rsidRPr="00824648" w:rsidRDefault="00037E67" w:rsidP="0003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37E67" w:rsidRPr="00824648" w:rsidRDefault="00037E67" w:rsidP="00037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0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824648" w:rsidP="000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Утверждаю.</w:t>
            </w:r>
          </w:p>
          <w:p w:rsidR="00037E67" w:rsidRPr="00824648" w:rsidRDefault="00824648" w:rsidP="000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Гимназии №2</w:t>
            </w:r>
          </w:p>
          <w:p w:rsidR="00037E67" w:rsidRPr="00824648" w:rsidRDefault="00824648" w:rsidP="000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  <w:p w:rsidR="00037E67" w:rsidRPr="00824648" w:rsidRDefault="00824648" w:rsidP="000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70/1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37E67" w:rsidRPr="00824648" w:rsidRDefault="00824648" w:rsidP="000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09.04.2018 г.</w:t>
            </w:r>
          </w:p>
          <w:p w:rsidR="00037E67" w:rsidRPr="00824648" w:rsidRDefault="00037E67" w:rsidP="00037E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37E67" w:rsidRPr="00037E67" w:rsidRDefault="00037E67" w:rsidP="00037E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25252"/>
          <w:sz w:val="28"/>
          <w:szCs w:val="28"/>
        </w:rPr>
      </w:pPr>
      <w:r w:rsidRPr="00037E67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</w:rPr>
        <w:t>ПОЛОЖЕНИЕ</w:t>
      </w:r>
    </w:p>
    <w:p w:rsidR="00037E67" w:rsidRPr="00037E67" w:rsidRDefault="00037E67" w:rsidP="00924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25252"/>
          <w:sz w:val="28"/>
          <w:szCs w:val="28"/>
        </w:rPr>
      </w:pPr>
      <w:r w:rsidRPr="00037E67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</w:rPr>
        <w:t xml:space="preserve">об </w:t>
      </w:r>
      <w:proofErr w:type="spellStart"/>
      <w:r w:rsidRPr="00037E67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</w:rPr>
        <w:t>антикоррупционной</w:t>
      </w:r>
      <w:proofErr w:type="spellEnd"/>
      <w:r w:rsidRPr="00037E67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</w:rPr>
        <w:t xml:space="preserve"> политике</w:t>
      </w:r>
      <w:r w:rsidR="00824648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</w:rPr>
        <w:t xml:space="preserve"> Гимназии №2</w:t>
      </w:r>
      <w:r w:rsidRPr="00037E67">
        <w:rPr>
          <w:rFonts w:ascii="Times New Roman" w:eastAsia="Times New Roman" w:hAnsi="Times New Roman" w:cs="Times New Roman"/>
          <w:color w:val="525252"/>
          <w:sz w:val="28"/>
          <w:szCs w:val="28"/>
        </w:rPr>
        <w:br/>
        <w:t> </w:t>
      </w:r>
    </w:p>
    <w:p w:rsidR="00924F3F" w:rsidRDefault="00037E67" w:rsidP="00924F3F">
      <w:pPr>
        <w:numPr>
          <w:ilvl w:val="0"/>
          <w:numId w:val="1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 xml:space="preserve">Основные положения  внедрения </w:t>
      </w:r>
      <w:proofErr w:type="spellStart"/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антикоррупционной</w:t>
      </w:r>
      <w:proofErr w:type="spellEnd"/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 xml:space="preserve"> политики</w:t>
      </w:r>
    </w:p>
    <w:p w:rsidR="00037E67" w:rsidRPr="00824648" w:rsidRDefault="00681412" w:rsidP="00681412">
      <w:pPr>
        <w:shd w:val="clear" w:color="auto" w:fill="FFFFFF"/>
        <w:spacing w:after="0" w:line="240" w:lineRule="auto"/>
        <w:ind w:left="-360" w:right="250" w:firstLine="36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  </w:t>
      </w:r>
      <w:proofErr w:type="spellStart"/>
      <w:r w:rsidR="00037E67" w:rsidRPr="00924F3F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Антикоррупционная</w:t>
      </w:r>
      <w:proofErr w:type="spellEnd"/>
      <w:r w:rsidR="00037E67" w:rsidRPr="00924F3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политика</w:t>
      </w:r>
      <w:r w:rsidR="00924F3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 Гимназии №2</w:t>
      </w:r>
      <w:r w:rsidR="00037E67" w:rsidRPr="00924F3F">
        <w:rPr>
          <w:rFonts w:ascii="Times New Roman" w:eastAsia="Times New Roman" w:hAnsi="Times New Roman" w:cs="Times New Roman"/>
          <w:color w:val="525252"/>
          <w:sz w:val="24"/>
          <w:szCs w:val="24"/>
        </w:rPr>
        <w:t> 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  <w:r w:rsidR="00924F3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Основополагающим нормативным правовым актом в сфере борьбы с коррупцией является Федеральный закон от 25 декабря 2008 г. № 273-ФЗ «О противодействии коррупции» (дале</w:t>
      </w:r>
      <w:r w:rsidR="00924F3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е – Федеральный закон № 273-ФЗ). 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 Нормативными актами, регулирующими  </w:t>
      </w:r>
      <w:proofErr w:type="spellStart"/>
      <w:r w:rsidR="00924F3F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антикоррупционную</w:t>
      </w:r>
      <w:proofErr w:type="spellEnd"/>
      <w:r w:rsidR="00924F3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политику Гимназии №2, являются также Федеральный з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акон «Об образовании</w:t>
      </w:r>
      <w:r w:rsidR="00924F3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в Российской Федерации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», </w:t>
      </w:r>
      <w:r w:rsidR="00924F3F">
        <w:rPr>
          <w:rFonts w:ascii="Times New Roman" w:eastAsia="Times New Roman" w:hAnsi="Times New Roman" w:cs="Times New Roman"/>
          <w:color w:val="525252"/>
          <w:sz w:val="24"/>
          <w:szCs w:val="24"/>
        </w:rPr>
        <w:t>Федеральный</w:t>
      </w:r>
      <w:r w:rsidR="00924F3F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закон «О контрактной системе в сфере закупок товаров, работ, услуг для обеспечения государственных</w:t>
      </w:r>
      <w:r w:rsidR="00924F3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и муниципальных нужд», Устав Гимназии №2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.</w:t>
      </w:r>
      <w:r w:rsidR="00924F3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В соответствии со ст.13.3  Федерального закона № 273-ФЗ меры по предупреждению корр</w:t>
      </w:r>
      <w:r w:rsidR="00924F3F">
        <w:rPr>
          <w:rFonts w:ascii="Times New Roman" w:eastAsia="Times New Roman" w:hAnsi="Times New Roman" w:cs="Times New Roman"/>
          <w:color w:val="525252"/>
          <w:sz w:val="24"/>
          <w:szCs w:val="24"/>
        </w:rPr>
        <w:t>упции, принимаемые в Гимназии №2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, могут включать: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>1) определение подразделений или должностных лиц, ответственных за профилактику коррупционных и иных правонарушени</w:t>
      </w:r>
      <w:r w:rsid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й;</w:t>
      </w:r>
      <w:r w:rsid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>2) сотрудничество Гимназии №2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с правоохранительными органами;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>3) разработку и внедрение в практику стандартов и процедур, направленных на обеспечение до</w:t>
      </w:r>
      <w:r w:rsid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бросовестной работы Гимназии №2;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>4) принятие К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одекса этики и служебного поведения работ</w:t>
      </w:r>
      <w:r w:rsid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ников Гимназии №2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;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>5) предотвращение и урегулирование конфликта интересов;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>6) недопущение составления неофициальной отчетности и использования поддельных документов.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         </w:t>
      </w:r>
      <w:proofErr w:type="spellStart"/>
      <w:r w:rsid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Антикоррупционная</w:t>
      </w:r>
      <w:proofErr w:type="spellEnd"/>
      <w:r w:rsid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политика Гимназии №2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направлена на реализацию данных мер.</w:t>
      </w:r>
    </w:p>
    <w:p w:rsidR="00F9019F" w:rsidRDefault="00037E67" w:rsidP="00F9019F">
      <w:pPr>
        <w:numPr>
          <w:ilvl w:val="0"/>
          <w:numId w:val="2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Используемые в политике понятия и определения</w:t>
      </w:r>
    </w:p>
    <w:p w:rsidR="00037E67" w:rsidRPr="00F9019F" w:rsidRDefault="00F9019F" w:rsidP="00F9019F">
      <w:pPr>
        <w:shd w:val="clear" w:color="auto" w:fill="FFFFFF"/>
        <w:spacing w:after="0" w:line="240" w:lineRule="auto"/>
        <w:ind w:left="-567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       </w:t>
      </w:r>
      <w:proofErr w:type="gramStart"/>
      <w:r w:rsidR="00037E67" w:rsidRPr="00F9019F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Коррупция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 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«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противодействии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   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коррупции»).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="00037E67" w:rsidRPr="00F9019F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         Противодействие коррупции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 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тьи 1 Федерального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закон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а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№ 273-ФЗ):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>а) по предупреждению коррупции, в том числе по выявлению и последующему устранению причин коррупции (профилактика коррупции);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>б) по выявлению, предупреждению, пресечению, раскрытию и расследованию коррупционных правонарушений (борьба с коррупцией);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>в) по минимизации и (или) ликвидации последствий коррупционных правонарушений.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="00037E67" w:rsidRPr="00F9019F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        Организация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 – юридическое лицо независимо от формы собственности, организационно-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lastRenderedPageBreak/>
        <w:t>правовой формы и отраслевой принадлежности.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="00037E67" w:rsidRPr="00F9019F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        Контрагент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 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="00037E67" w:rsidRPr="00F9019F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 xml:space="preserve">        </w:t>
      </w:r>
      <w:proofErr w:type="gramStart"/>
      <w:r w:rsidR="00037E67" w:rsidRPr="00F9019F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Взятка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 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="00037E67" w:rsidRPr="00F9019F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 xml:space="preserve">         </w:t>
      </w:r>
      <w:proofErr w:type="gramStart"/>
      <w:r w:rsidR="00037E67" w:rsidRPr="00F9019F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Коммерческий подкуп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 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="00037E67" w:rsidRPr="00F9019F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 xml:space="preserve">          </w:t>
      </w:r>
      <w:proofErr w:type="gramStart"/>
      <w:r w:rsidR="00037E67" w:rsidRPr="00F9019F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Конфликт интересов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 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(представителем организации) которой он является.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="00037E67" w:rsidRPr="00F9019F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        Личная заинтересованность работника (представителя организации)</w:t>
      </w:r>
      <w:r w:rsidR="00037E67" w:rsidRP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 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037E67" w:rsidRPr="00824648" w:rsidRDefault="00037E67" w:rsidP="00824648">
      <w:pPr>
        <w:numPr>
          <w:ilvl w:val="0"/>
          <w:numId w:val="3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 xml:space="preserve">Основные принципы </w:t>
      </w:r>
      <w:proofErr w:type="spellStart"/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антикоррупционной</w:t>
      </w:r>
      <w:proofErr w:type="spellEnd"/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 xml:space="preserve">  деятельности </w:t>
      </w:r>
      <w:r w:rsidR="00F9019F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Гимназии №2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Системы мер п</w:t>
      </w:r>
      <w:r w:rsid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ротиводействия коррупции в 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основываться на следующих ключевых принципах:</w:t>
      </w:r>
    </w:p>
    <w:p w:rsidR="00037E67" w:rsidRPr="00824648" w:rsidRDefault="00037E67" w:rsidP="00824648">
      <w:pPr>
        <w:numPr>
          <w:ilvl w:val="0"/>
          <w:numId w:val="4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Принцип соответствия политики организации действующему законодательству и общепринятым нормам.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Соответствие реализуемых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антикоррупционных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037E67" w:rsidRPr="00824648" w:rsidRDefault="00037E67" w:rsidP="00824648">
      <w:pPr>
        <w:numPr>
          <w:ilvl w:val="0"/>
          <w:numId w:val="5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Принцип личного примера руководства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037E67" w:rsidRPr="00824648" w:rsidRDefault="00037E67" w:rsidP="00824648">
      <w:pPr>
        <w:numPr>
          <w:ilvl w:val="0"/>
          <w:numId w:val="6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Принцип вовлеченности работников.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Информированность работников организации о положениях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антикоррупционного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законодательства и их активное участие в формировании и реализации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антикоррупционных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стандартов и процедур.</w:t>
      </w:r>
    </w:p>
    <w:p w:rsidR="00037E67" w:rsidRPr="00824648" w:rsidRDefault="00037E67" w:rsidP="00824648">
      <w:pPr>
        <w:numPr>
          <w:ilvl w:val="0"/>
          <w:numId w:val="7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 xml:space="preserve">Принцип соразмерности </w:t>
      </w:r>
      <w:proofErr w:type="spellStart"/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антикоррупционных</w:t>
      </w:r>
      <w:proofErr w:type="spellEnd"/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 xml:space="preserve"> процедур риску коррупции.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037E67" w:rsidRPr="00824648" w:rsidRDefault="00037E67" w:rsidP="00824648">
      <w:pPr>
        <w:numPr>
          <w:ilvl w:val="0"/>
          <w:numId w:val="8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 xml:space="preserve">Принцип эффективности  </w:t>
      </w:r>
      <w:proofErr w:type="spellStart"/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антикоррупционных</w:t>
      </w:r>
      <w:proofErr w:type="spellEnd"/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 xml:space="preserve"> процедур.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Применение в организации таких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антикоррупционных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приносят значимый результат</w:t>
      </w:r>
      <w:proofErr w:type="gram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.</w:t>
      </w:r>
    </w:p>
    <w:p w:rsidR="00037E67" w:rsidRPr="00824648" w:rsidRDefault="00037E67" w:rsidP="00824648">
      <w:pPr>
        <w:numPr>
          <w:ilvl w:val="0"/>
          <w:numId w:val="9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lastRenderedPageBreak/>
        <w:t>Принцип ответственности и неотвратимости наказания.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антикоррупционной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политики.</w:t>
      </w:r>
    </w:p>
    <w:p w:rsidR="00037E67" w:rsidRPr="00824648" w:rsidRDefault="00037E67" w:rsidP="00824648">
      <w:pPr>
        <w:numPr>
          <w:ilvl w:val="0"/>
          <w:numId w:val="10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Принцип открытости  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Информирование контрагентов, партнеров и общественности о принятых в организации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антикоррупционных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стандартах ведения деятельности.</w:t>
      </w:r>
    </w:p>
    <w:p w:rsidR="00037E67" w:rsidRPr="00824648" w:rsidRDefault="00037E67" w:rsidP="00824648">
      <w:pPr>
        <w:numPr>
          <w:ilvl w:val="0"/>
          <w:numId w:val="11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Принцип постоянного контроля и регулярного мониторинга.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Регулярное осуществление мониторинга эффективности внедренных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антикоррупционных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стандартов и процедур, а также </w:t>
      </w:r>
      <w:proofErr w:type="gram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контроля за</w:t>
      </w:r>
      <w:proofErr w:type="gram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их исполнением.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 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         </w:t>
      </w:r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4. Область применения политики и круг лиц, попадающих под ее действие.</w:t>
      </w:r>
    </w:p>
    <w:p w:rsidR="00037E67" w:rsidRPr="00824648" w:rsidRDefault="00037E67" w:rsidP="004F6E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Основным кругом лиц, попадающих под действие по</w:t>
      </w:r>
      <w:r w:rsid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литики, являются работники 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, находящиеся с ней в трудовых отношениях, вне зависимости от занимаемой должности и выполняемых функций. Политика распространяется </w:t>
      </w:r>
      <w:r w:rsidR="00F9019F">
        <w:rPr>
          <w:rFonts w:ascii="Times New Roman" w:eastAsia="Times New Roman" w:hAnsi="Times New Roman" w:cs="Times New Roman"/>
          <w:color w:val="525252"/>
          <w:sz w:val="24"/>
          <w:szCs w:val="24"/>
        </w:rPr>
        <w:t>и на лица, выполняющие для 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работы или предоставляющие услуги на основе гражданско-правовых договоров.  В этом случае соответствующие положения включаются в текст договоров.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 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5.  О</w:t>
      </w:r>
      <w:r w:rsidR="00F9019F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пределение должностных лиц Гимназии №2</w:t>
      </w:r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 xml:space="preserve">, ответственных за реализацию </w:t>
      </w:r>
      <w:proofErr w:type="spellStart"/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антикоррупционной</w:t>
      </w:r>
      <w:proofErr w:type="spellEnd"/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  политики.</w:t>
      </w:r>
    </w:p>
    <w:p w:rsidR="00037E67" w:rsidRPr="00824648" w:rsidRDefault="00F9019F" w:rsidP="006814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В Гимназии №2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(заместитель директора)</w:t>
      </w:r>
      <w:r w:rsidR="00815544">
        <w:rPr>
          <w:rFonts w:ascii="Times New Roman" w:eastAsia="Times New Roman" w:hAnsi="Times New Roman" w:cs="Times New Roman"/>
          <w:color w:val="525252"/>
          <w:sz w:val="24"/>
          <w:szCs w:val="24"/>
        </w:rPr>
        <w:t>.</w:t>
      </w:r>
      <w:r w:rsidR="00815544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>Его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обязанности  включают в частности:</w:t>
      </w:r>
    </w:p>
    <w:p w:rsidR="00037E67" w:rsidRPr="00824648" w:rsidRDefault="00037E67" w:rsidP="00824648">
      <w:pPr>
        <w:numPr>
          <w:ilvl w:val="0"/>
          <w:numId w:val="12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разработку  локальн</w:t>
      </w:r>
      <w:r w:rsidR="00815544">
        <w:rPr>
          <w:rFonts w:ascii="Times New Roman" w:eastAsia="Times New Roman" w:hAnsi="Times New Roman" w:cs="Times New Roman"/>
          <w:color w:val="525252"/>
          <w:sz w:val="24"/>
          <w:szCs w:val="24"/>
        </w:rPr>
        <w:t>ых нормативных актов 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, направленных на реализацию мер по предупреждению коррупци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и (</w:t>
      </w:r>
      <w:proofErr w:type="spellStart"/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антикоррупционной</w:t>
      </w:r>
      <w:proofErr w:type="spellEnd"/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политики, К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одекса этики и служебного поведения работников и т.д.);</w:t>
      </w:r>
    </w:p>
    <w:p w:rsidR="00037E67" w:rsidRPr="00824648" w:rsidRDefault="00037E67" w:rsidP="00824648">
      <w:pPr>
        <w:numPr>
          <w:ilvl w:val="0"/>
          <w:numId w:val="12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проведение контрольных мероприятий, направленных на выявление коррупционных правон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арушений работниками 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;</w:t>
      </w:r>
    </w:p>
    <w:p w:rsidR="00037E67" w:rsidRPr="00824648" w:rsidRDefault="00037E67" w:rsidP="00824648">
      <w:pPr>
        <w:numPr>
          <w:ilvl w:val="0"/>
          <w:numId w:val="12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организация проведения оценки коррупционных рисков;</w:t>
      </w:r>
    </w:p>
    <w:p w:rsidR="00037E67" w:rsidRPr="00824648" w:rsidRDefault="00037E67" w:rsidP="00824648">
      <w:pPr>
        <w:numPr>
          <w:ilvl w:val="0"/>
          <w:numId w:val="12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работниками, контрагентами 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или иными лицами;</w:t>
      </w:r>
    </w:p>
    <w:p w:rsidR="00037E67" w:rsidRPr="00824648" w:rsidRDefault="00037E67" w:rsidP="00824648">
      <w:pPr>
        <w:numPr>
          <w:ilvl w:val="0"/>
          <w:numId w:val="12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организация заполнения и рассмотрения деклараций о конфликте интересов;</w:t>
      </w:r>
    </w:p>
    <w:p w:rsidR="00037E67" w:rsidRPr="00824648" w:rsidRDefault="00037E67" w:rsidP="00824648">
      <w:pPr>
        <w:numPr>
          <w:ilvl w:val="0"/>
          <w:numId w:val="12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037E67" w:rsidRPr="00824648" w:rsidRDefault="00037E67" w:rsidP="00824648">
      <w:pPr>
        <w:numPr>
          <w:ilvl w:val="0"/>
          <w:numId w:val="12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роверок деятельности 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по вопросам предупреждения и противодействия коррупции;</w:t>
      </w:r>
    </w:p>
    <w:p w:rsidR="00037E67" w:rsidRPr="00824648" w:rsidRDefault="00037E67" w:rsidP="00824648">
      <w:pPr>
        <w:numPr>
          <w:ilvl w:val="0"/>
          <w:numId w:val="12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037E67" w:rsidRPr="00824648" w:rsidRDefault="00037E67" w:rsidP="00824648">
      <w:pPr>
        <w:numPr>
          <w:ilvl w:val="0"/>
          <w:numId w:val="12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проведение оценки результатов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антикоррупционной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работы и подготовка соответствующих отчетных материалов Учредителю.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 6.  Определение и закрепление обяза</w:t>
      </w:r>
      <w:r w:rsidR="00560C2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нностей работников в Гимназии №2</w:t>
      </w:r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, связанных с предупреждением и противодействием коррупции</w:t>
      </w:r>
    </w:p>
    <w:p w:rsidR="00037E67" w:rsidRPr="00824648" w:rsidRDefault="00037E67" w:rsidP="006814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Об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язанности работников 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в связи с предупреждением и противодействием коррупции являются о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бщими для всех сотрудников 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.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lastRenderedPageBreak/>
        <w:t>Общими обязанностями работников в связи с предупреждением и противодействием коррупции являются следующие:</w:t>
      </w:r>
    </w:p>
    <w:p w:rsidR="00037E67" w:rsidRPr="00824648" w:rsidRDefault="00037E67" w:rsidP="00824648">
      <w:pPr>
        <w:numPr>
          <w:ilvl w:val="0"/>
          <w:numId w:val="13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воздерживаться от совершения и (или) участия в совершении коррупционных правонарушени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й в интересах или от имени 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;</w:t>
      </w:r>
    </w:p>
    <w:p w:rsidR="00037E67" w:rsidRPr="00824648" w:rsidRDefault="00037E67" w:rsidP="00824648">
      <w:pPr>
        <w:numPr>
          <w:ilvl w:val="0"/>
          <w:numId w:val="13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;</w:t>
      </w:r>
    </w:p>
    <w:p w:rsidR="00037E67" w:rsidRPr="00824648" w:rsidRDefault="00037E67" w:rsidP="00824648">
      <w:pPr>
        <w:numPr>
          <w:ilvl w:val="0"/>
          <w:numId w:val="13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незамедлительно информировать директора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, руководство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о случаях склонения работника к совершению коррупционных правонарушений;</w:t>
      </w:r>
    </w:p>
    <w:p w:rsidR="00037E67" w:rsidRPr="00824648" w:rsidRDefault="00037E67" w:rsidP="00824648">
      <w:pPr>
        <w:numPr>
          <w:ilvl w:val="0"/>
          <w:numId w:val="13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незамедлительно информировать непосредс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твенного директора Гимназии №2 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о ставшей известной  информации о случаях совершения коррупционных правонарушений другими работниками, контрагентами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или иными лицами;</w:t>
      </w:r>
    </w:p>
    <w:p w:rsidR="00037E67" w:rsidRPr="00824648" w:rsidRDefault="00037E67" w:rsidP="00824648">
      <w:pPr>
        <w:numPr>
          <w:ilvl w:val="0"/>
          <w:numId w:val="13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сообщить непосредственному директору или иному ответственному лицу о возможности возникновения либо возникшем у работника конфликте интересов.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В целях обеспечения эффективного исполнения возложенных на работников обязанностей   регламентируются процедуры их соблюдения.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>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 7. Установление перечня реализуемых  </w:t>
      </w:r>
      <w:r w:rsidR="00560C28" w:rsidRPr="00560C28">
        <w:rPr>
          <w:rFonts w:ascii="Times New Roman" w:eastAsia="Times New Roman" w:hAnsi="Times New Roman" w:cs="Times New Roman"/>
          <w:b/>
          <w:color w:val="525252"/>
          <w:sz w:val="24"/>
          <w:szCs w:val="24"/>
        </w:rPr>
        <w:t>Гимназией №2</w:t>
      </w:r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 xml:space="preserve"> </w:t>
      </w:r>
      <w:proofErr w:type="spellStart"/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антикоррупционных</w:t>
      </w:r>
      <w:proofErr w:type="spellEnd"/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 xml:space="preserve"> мероприятий, стандартов и процедур и  порядок их выполнения (применения)</w:t>
      </w:r>
    </w:p>
    <w:tbl>
      <w:tblPr>
        <w:tblW w:w="8953" w:type="dxa"/>
        <w:tblCellMar>
          <w:left w:w="0" w:type="dxa"/>
          <w:right w:w="0" w:type="dxa"/>
        </w:tblCellMar>
        <w:tblLook w:val="04A0"/>
      </w:tblPr>
      <w:tblGrid>
        <w:gridCol w:w="2786"/>
        <w:gridCol w:w="6167"/>
      </w:tblGrid>
      <w:tr w:rsidR="00037E67" w:rsidRPr="00824648" w:rsidTr="00037E67">
        <w:tc>
          <w:tcPr>
            <w:tcW w:w="2880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037E67" w:rsidRPr="00824648" w:rsidTr="00037E67">
        <w:tc>
          <w:tcPr>
            <w:tcW w:w="2880" w:type="dxa"/>
            <w:vMerge w:val="restart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560C28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принятие К</w:t>
            </w:r>
            <w:r w:rsidR="00037E67"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одекса этики и служебного поведения работников </w:t>
            </w:r>
            <w:r>
              <w:rPr>
                <w:rFonts w:ascii="Times New Roman" w:eastAsia="Times New Roman" w:hAnsi="Times New Roman" w:cs="Times New Roman"/>
                <w:color w:val="525252"/>
                <w:sz w:val="24"/>
                <w:szCs w:val="24"/>
              </w:rPr>
              <w:t>Гимназии №2</w:t>
            </w:r>
          </w:p>
        </w:tc>
      </w:tr>
      <w:tr w:rsidR="00037E67" w:rsidRPr="00824648" w:rsidTr="00037E67">
        <w:tc>
          <w:tcPr>
            <w:tcW w:w="0" w:type="auto"/>
            <w:vMerge/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4F6EB6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внедрение П</w:t>
            </w:r>
            <w:r w:rsidR="00037E67"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оложения о конфликте интересов</w:t>
            </w:r>
          </w:p>
        </w:tc>
      </w:tr>
      <w:tr w:rsidR="00037E67" w:rsidRPr="00824648" w:rsidTr="00037E67">
        <w:tc>
          <w:tcPr>
            <w:tcW w:w="0" w:type="auto"/>
            <w:vMerge/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037E67" w:rsidRPr="00824648" w:rsidTr="00037E67">
        <w:tc>
          <w:tcPr>
            <w:tcW w:w="0" w:type="auto"/>
            <w:vMerge/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оговорки</w:t>
            </w:r>
          </w:p>
        </w:tc>
      </w:tr>
      <w:tr w:rsidR="00037E67" w:rsidRPr="00824648" w:rsidTr="00037E67">
        <w:tc>
          <w:tcPr>
            <w:tcW w:w="2880" w:type="dxa"/>
            <w:vMerge w:val="restart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введение специальных </w:t>
            </w:r>
            <w:proofErr w:type="spellStart"/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</w:t>
            </w: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037E67" w:rsidRPr="00824648" w:rsidTr="00037E67">
        <w:tc>
          <w:tcPr>
            <w:tcW w:w="0" w:type="auto"/>
            <w:vMerge/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</w:t>
            </w:r>
            <w:r w:rsidR="00560C28">
              <w:rPr>
                <w:rFonts w:ascii="Times New Roman" w:eastAsia="Times New Roman" w:hAnsi="Times New Roman" w:cs="Times New Roman"/>
                <w:color w:val="525252"/>
                <w:sz w:val="24"/>
                <w:szCs w:val="24"/>
              </w:rPr>
              <w:t>Гимназии №2</w:t>
            </w: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иными лицами и  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037E67" w:rsidRPr="00824648" w:rsidTr="00037E67">
        <w:tc>
          <w:tcPr>
            <w:tcW w:w="0" w:type="auto"/>
            <w:vMerge/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процедуры информирования работниками работодателя о возникновении конфликта интересов и порядка урегулирования выявленного конфликта </w:t>
            </w: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интересов</w:t>
            </w:r>
          </w:p>
        </w:tc>
      </w:tr>
      <w:tr w:rsidR="00037E67" w:rsidRPr="00824648" w:rsidTr="00037E67">
        <w:tc>
          <w:tcPr>
            <w:tcW w:w="0" w:type="auto"/>
            <w:vMerge/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037E67" w:rsidRPr="00824648" w:rsidTr="00037E67">
        <w:tc>
          <w:tcPr>
            <w:tcW w:w="0" w:type="auto"/>
            <w:vMerge/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периодической оценки коррупционных рисков в целях выявления сфер деятельности </w:t>
            </w:r>
            <w:r w:rsidR="00560C28">
              <w:rPr>
                <w:rFonts w:ascii="Times New Roman" w:eastAsia="Times New Roman" w:hAnsi="Times New Roman" w:cs="Times New Roman"/>
                <w:color w:val="525252"/>
                <w:sz w:val="24"/>
                <w:szCs w:val="24"/>
              </w:rPr>
              <w:t>Гимназии №2</w:t>
            </w: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наиболее подверженных таким рискам, и разработки соответствующих </w:t>
            </w:r>
            <w:proofErr w:type="spellStart"/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</w:t>
            </w:r>
          </w:p>
        </w:tc>
      </w:tr>
      <w:tr w:rsidR="00037E67" w:rsidRPr="00824648" w:rsidTr="00037E67">
        <w:tc>
          <w:tcPr>
            <w:tcW w:w="2880" w:type="dxa"/>
            <w:vMerge w:val="restart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и информирование работников</w:t>
            </w: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Ежегодное ознакомление работников под роспись с приказом, регламентирующим</w:t>
            </w: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вопросы предупреждения и противодействия коррупции в </w:t>
            </w:r>
            <w:r w:rsidR="00560C28">
              <w:rPr>
                <w:rFonts w:ascii="Times New Roman" w:eastAsia="Times New Roman" w:hAnsi="Times New Roman" w:cs="Times New Roman"/>
                <w:color w:val="525252"/>
                <w:sz w:val="24"/>
                <w:szCs w:val="24"/>
              </w:rPr>
              <w:t>Гимназии №2</w:t>
            </w:r>
          </w:p>
        </w:tc>
      </w:tr>
      <w:tr w:rsidR="00037E67" w:rsidRPr="00824648" w:rsidTr="00037E67">
        <w:tc>
          <w:tcPr>
            <w:tcW w:w="0" w:type="auto"/>
            <w:vMerge/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037E67" w:rsidRPr="00824648" w:rsidTr="00037E67">
        <w:tc>
          <w:tcPr>
            <w:tcW w:w="0" w:type="auto"/>
            <w:vMerge/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стандартов и процедур</w:t>
            </w:r>
          </w:p>
        </w:tc>
      </w:tr>
      <w:tr w:rsidR="00037E67" w:rsidRPr="00824648" w:rsidTr="00037E67">
        <w:tc>
          <w:tcPr>
            <w:tcW w:w="2880" w:type="dxa"/>
            <w:vMerge w:val="restart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соответствия системы внутреннего контроля и аудита </w:t>
            </w:r>
            <w:r w:rsidR="00560C28">
              <w:rPr>
                <w:rFonts w:ascii="Times New Roman" w:eastAsia="Times New Roman" w:hAnsi="Times New Roman" w:cs="Times New Roman"/>
                <w:color w:val="525252"/>
                <w:sz w:val="24"/>
                <w:szCs w:val="24"/>
              </w:rPr>
              <w:t xml:space="preserve">Гимназии №2 </w:t>
            </w: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требованиям </w:t>
            </w:r>
            <w:proofErr w:type="spellStart"/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политики </w:t>
            </w:r>
            <w:r w:rsidR="00560C28">
              <w:rPr>
                <w:rFonts w:ascii="Times New Roman" w:eastAsia="Times New Roman" w:hAnsi="Times New Roman" w:cs="Times New Roman"/>
                <w:color w:val="525252"/>
                <w:sz w:val="24"/>
                <w:szCs w:val="24"/>
              </w:rPr>
              <w:t>Гимназии №2</w:t>
            </w: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</w:tr>
      <w:tr w:rsidR="00037E67" w:rsidRPr="00824648" w:rsidTr="00037E67">
        <w:tc>
          <w:tcPr>
            <w:tcW w:w="0" w:type="auto"/>
            <w:vMerge/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037E67" w:rsidRPr="00824648" w:rsidTr="00037E67">
        <w:tc>
          <w:tcPr>
            <w:tcW w:w="0" w:type="auto"/>
            <w:vMerge/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037E67" w:rsidRPr="00824648" w:rsidTr="00037E67">
        <w:tc>
          <w:tcPr>
            <w:tcW w:w="2880" w:type="dxa"/>
            <w:vMerge w:val="restart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результатов проводимой </w:t>
            </w:r>
            <w:proofErr w:type="spellStart"/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и распространение отчетных материалов</w:t>
            </w: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037E67" w:rsidRPr="00824648" w:rsidTr="00037E67">
        <w:tc>
          <w:tcPr>
            <w:tcW w:w="0" w:type="auto"/>
            <w:vMerge/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5" w:type="dxa"/>
            <w:tcMar>
              <w:top w:w="50" w:type="dxa"/>
              <w:left w:w="63" w:type="dxa"/>
              <w:bottom w:w="50" w:type="dxa"/>
              <w:right w:w="125" w:type="dxa"/>
            </w:tcMar>
            <w:vAlign w:val="center"/>
            <w:hideMark/>
          </w:tcPr>
          <w:p w:rsidR="00037E67" w:rsidRPr="00824648" w:rsidRDefault="00037E67" w:rsidP="00824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64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037E67" w:rsidRPr="00824648" w:rsidRDefault="00037E67" w:rsidP="006814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В качестве   приложения к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антикоррупционной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политике в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ежегодно утверждается план реализации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антикоррупционных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мероприятий.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 8. Оценка коррупционных рисков</w:t>
      </w:r>
    </w:p>
    <w:p w:rsidR="00037E67" w:rsidRPr="00824648" w:rsidRDefault="00037E67" w:rsidP="006814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Целью оценки коррупционных рисков является определение конкретных  процессов и видов деятельности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, при реализации которых наиболее высока вероятность совершения работниками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коррупционных </w:t>
      </w:r>
      <w:proofErr w:type="gram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правонарушений</w:t>
      </w:r>
      <w:proofErr w:type="gram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как в целях получения личной выгоды, так и в целях получения выгоды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Гимназией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.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="00681412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          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Оценка коррупционных рисков является важнейшим элементом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антикоррупционной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политики. Она позволяет обеспечить соответствие реализуемых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антикоррупционных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мероприятий специфике деятельности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и рационально использовать ресурсы, направляемые на проведение работы по профилактике коррупции. Оценка коррупционных рисков  проводится как на стадии разработки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антикоррупционной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политики, так и после ее утверждения на регулярной основе и оформляется Приложением к данному документу.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="00681412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         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Порядок проведения оценки коррупционных рисков:</w:t>
      </w:r>
    </w:p>
    <w:p w:rsidR="00037E67" w:rsidRPr="00824648" w:rsidRDefault="00037E67" w:rsidP="00824648">
      <w:pPr>
        <w:numPr>
          <w:ilvl w:val="0"/>
          <w:numId w:val="14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lastRenderedPageBreak/>
        <w:t xml:space="preserve">представить деятельность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в виде отдельных  процессов, в каждом из которых выделить составные элементы (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подпроцессы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);</w:t>
      </w:r>
    </w:p>
    <w:p w:rsidR="00037E67" w:rsidRPr="00824648" w:rsidRDefault="00037E67" w:rsidP="00824648">
      <w:pPr>
        <w:numPr>
          <w:ilvl w:val="0"/>
          <w:numId w:val="14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выделить «критические точки» — для каждого  процесса и определить те элементы (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подпроцессы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), при реализации которых наиболее вероятно возникновение коррупционных правонарушений.</w:t>
      </w:r>
    </w:p>
    <w:p w:rsidR="00037E67" w:rsidRPr="00824648" w:rsidRDefault="00037E67" w:rsidP="00824648">
      <w:pPr>
        <w:numPr>
          <w:ilvl w:val="0"/>
          <w:numId w:val="14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для каждого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подпроцесса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— характеристику выгоды или преимущества, которое может быть получено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Гимназией 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или ее отдельными работниками при совершении «коррупционного правонарушения»;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 xml:space="preserve">— должности в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, которые являются «ключевыми» для совершения коррупционного правонарушения – участие каких должностных лиц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необходимо, чтобы совершение коррупционного правонарушения стало возможным;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>— вероятные формы осуществления коррупционных платежей.</w:t>
      </w:r>
    </w:p>
    <w:p w:rsidR="00037E67" w:rsidRPr="00824648" w:rsidRDefault="00037E67" w:rsidP="00824648">
      <w:pPr>
        <w:numPr>
          <w:ilvl w:val="0"/>
          <w:numId w:val="15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На основании проведенного анализа подготовить «карту коррупционных рисков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» — сводное описание «критических точек» и возможных коррупционных правонарушений.</w:t>
      </w:r>
    </w:p>
    <w:p w:rsidR="00037E67" w:rsidRPr="00824648" w:rsidRDefault="00037E67" w:rsidP="00824648">
      <w:pPr>
        <w:numPr>
          <w:ilvl w:val="0"/>
          <w:numId w:val="15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 Разработать комплекс мер по устранению или минимизации коррупционных рисков.</w:t>
      </w:r>
    </w:p>
    <w:p w:rsidR="00037E67" w:rsidRPr="00824648" w:rsidRDefault="00560C28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8. Ответственность  работников Гимназии №2</w:t>
      </w:r>
      <w:r w:rsidR="00037E67"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 xml:space="preserve"> за несоблюдение требований </w:t>
      </w:r>
      <w:proofErr w:type="spellStart"/>
      <w:r w:rsidR="00037E67"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антикоррупционной</w:t>
      </w:r>
      <w:proofErr w:type="spellEnd"/>
      <w:r w:rsidR="00037E67"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 xml:space="preserve"> политики</w:t>
      </w:r>
    </w:p>
    <w:p w:rsidR="00037E67" w:rsidRPr="00824648" w:rsidRDefault="00681412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         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Своевременное выявление конфликта интересов в деятельности работников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Гимназии №2 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         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С целью регулирования и предотвращения конфликта интересов в деятельности своих работников в школе действует </w:t>
      </w:r>
      <w:hyperlink r:id="rId6" w:history="1">
        <w:r w:rsidR="00037E67" w:rsidRPr="00560C28">
          <w:rPr>
            <w:rFonts w:ascii="Times New Roman" w:eastAsia="Times New Roman" w:hAnsi="Times New Roman" w:cs="Times New Roman"/>
            <w:sz w:val="24"/>
            <w:szCs w:val="24"/>
          </w:rPr>
          <w:t>Положение о</w:t>
        </w:r>
      </w:hyperlink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 конфликте интересов.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</w:t>
      </w:r>
      <w:r w:rsidR="00560C28">
        <w:rPr>
          <w:rFonts w:ascii="Times New Roman" w:eastAsia="Times New Roman" w:hAnsi="Times New Roman" w:cs="Times New Roman"/>
          <w:color w:val="525252"/>
          <w:sz w:val="24"/>
          <w:szCs w:val="24"/>
        </w:rPr>
        <w:t>Данное П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оложение – это внутренний документ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, устанавливающий порядок выявления и урегулирования конфликтов интересов, возникающих у работников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в ходе выполнения ими трудовых обязанностей.  В него включены следующие аспекты:</w:t>
      </w:r>
    </w:p>
    <w:p w:rsidR="00037E67" w:rsidRPr="00824648" w:rsidRDefault="00037E67" w:rsidP="00824648">
      <w:pPr>
        <w:numPr>
          <w:ilvl w:val="0"/>
          <w:numId w:val="16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цели и задачи Положения о конфликте интересов;</w:t>
      </w:r>
    </w:p>
    <w:p w:rsidR="00037E67" w:rsidRPr="00824648" w:rsidRDefault="004F6EB6" w:rsidP="00824648">
      <w:pPr>
        <w:numPr>
          <w:ilvl w:val="0"/>
          <w:numId w:val="16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используемые в П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оложении понятия и определения;</w:t>
      </w:r>
    </w:p>
    <w:p w:rsidR="00037E67" w:rsidRPr="00824648" w:rsidRDefault="00037E67" w:rsidP="00824648">
      <w:pPr>
        <w:numPr>
          <w:ilvl w:val="0"/>
          <w:numId w:val="16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кру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 лиц, попадающих под действие П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оложения;</w:t>
      </w:r>
    </w:p>
    <w:p w:rsidR="00037E67" w:rsidRPr="00824648" w:rsidRDefault="00037E67" w:rsidP="00824648">
      <w:pPr>
        <w:numPr>
          <w:ilvl w:val="0"/>
          <w:numId w:val="16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основные принципы управления конфликтом интересов в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;</w:t>
      </w:r>
    </w:p>
    <w:p w:rsidR="00037E67" w:rsidRPr="00824648" w:rsidRDefault="00037E67" w:rsidP="00824648">
      <w:pPr>
        <w:numPr>
          <w:ilvl w:val="0"/>
          <w:numId w:val="16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порядок раскрытия конфликта интересов работником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Гимназии №2 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и порядок его урегулирования, в том числе возможные способы разрешения возникшего конфликта интересов;</w:t>
      </w:r>
    </w:p>
    <w:p w:rsidR="00037E67" w:rsidRPr="00824648" w:rsidRDefault="00037E67" w:rsidP="00824648">
      <w:pPr>
        <w:numPr>
          <w:ilvl w:val="0"/>
          <w:numId w:val="16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обязанности работников в связи с раскрытием и урегулированием конфликта интересов;</w:t>
      </w:r>
    </w:p>
    <w:p w:rsidR="00037E67" w:rsidRPr="00824648" w:rsidRDefault="00037E67" w:rsidP="00824648">
      <w:pPr>
        <w:numPr>
          <w:ilvl w:val="0"/>
          <w:numId w:val="16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037E67" w:rsidRPr="00824648" w:rsidRDefault="00037E67" w:rsidP="00824648">
      <w:pPr>
        <w:numPr>
          <w:ilvl w:val="0"/>
          <w:numId w:val="16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ответственность работников за н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есоблюдение П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оложения о конфликте интересов.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 </w:t>
      </w:r>
      <w:r w:rsidR="004F6EB6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 xml:space="preserve">      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В основу работы по управлению конфликтом интересов в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могут быть положены следующие принципы:</w:t>
      </w:r>
    </w:p>
    <w:p w:rsidR="00037E67" w:rsidRPr="00824648" w:rsidRDefault="00037E67" w:rsidP="00824648">
      <w:pPr>
        <w:numPr>
          <w:ilvl w:val="0"/>
          <w:numId w:val="17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037E67" w:rsidRPr="00824648" w:rsidRDefault="00037E67" w:rsidP="00824648">
      <w:pPr>
        <w:numPr>
          <w:ilvl w:val="0"/>
          <w:numId w:val="17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индивидуальное рассмотрение и оценка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репутационных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рисков для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при выявлении каждого конфликта интересов и его урегулирование;</w:t>
      </w:r>
    </w:p>
    <w:p w:rsidR="00037E67" w:rsidRPr="00824648" w:rsidRDefault="00037E67" w:rsidP="00824648">
      <w:pPr>
        <w:numPr>
          <w:ilvl w:val="0"/>
          <w:numId w:val="17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037E67" w:rsidRPr="00824648" w:rsidRDefault="00037E67" w:rsidP="00824648">
      <w:pPr>
        <w:numPr>
          <w:ilvl w:val="0"/>
          <w:numId w:val="17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соблюдение баланса интересов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и работника при урегулировании конфликта интересов;</w:t>
      </w:r>
    </w:p>
    <w:p w:rsidR="00037E67" w:rsidRPr="00824648" w:rsidRDefault="00037E67" w:rsidP="00824648">
      <w:pPr>
        <w:numPr>
          <w:ilvl w:val="0"/>
          <w:numId w:val="17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Гимназией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lastRenderedPageBreak/>
        <w:t>Обязанности работников в связи с раскрытием и урегулированием конфликта интересов: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 xml:space="preserve">при принятии решений по деловым вопросам и выполнении своих трудовых обязанностей руководствоваться интересами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– без учета своих личных интересов, интересов своих родственников и друзей;</w:t>
      </w:r>
    </w:p>
    <w:p w:rsidR="00037E67" w:rsidRPr="00824648" w:rsidRDefault="00037E67" w:rsidP="00824648">
      <w:pPr>
        <w:numPr>
          <w:ilvl w:val="0"/>
          <w:numId w:val="18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:rsidR="00037E67" w:rsidRPr="00824648" w:rsidRDefault="00037E67" w:rsidP="00824648">
      <w:pPr>
        <w:numPr>
          <w:ilvl w:val="0"/>
          <w:numId w:val="18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раскрывать возникший (реальный) или потенциальный конфликт интересов;</w:t>
      </w:r>
    </w:p>
    <w:p w:rsidR="00037E67" w:rsidRPr="00824648" w:rsidRDefault="00037E67" w:rsidP="00824648">
      <w:pPr>
        <w:numPr>
          <w:ilvl w:val="0"/>
          <w:numId w:val="18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содействовать урегулированию возникшего конфликта интересов.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 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 В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возможно установление различных видов раскрытия конфликта интересов, в том числе:</w:t>
      </w:r>
    </w:p>
    <w:p w:rsidR="00037E67" w:rsidRPr="00824648" w:rsidRDefault="00037E67" w:rsidP="00824648">
      <w:pPr>
        <w:numPr>
          <w:ilvl w:val="0"/>
          <w:numId w:val="19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раскрытие сведений о конфликте интересов при приеме на работу;</w:t>
      </w:r>
    </w:p>
    <w:p w:rsidR="00037E67" w:rsidRPr="00824648" w:rsidRDefault="00037E67" w:rsidP="00824648">
      <w:pPr>
        <w:numPr>
          <w:ilvl w:val="0"/>
          <w:numId w:val="19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037E67" w:rsidRPr="00824648" w:rsidRDefault="00037E67" w:rsidP="00824648">
      <w:pPr>
        <w:numPr>
          <w:ilvl w:val="0"/>
          <w:numId w:val="19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разовое раскрытие сведений по мере возникновения ситуаций конфликта интересов.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Гимназия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берёт на себя обязательство конфиденциального рассмотрения представленных сведений и урегулирования конфликта интересов.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Гимназия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Гимназия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037E67" w:rsidRPr="00824648" w:rsidRDefault="00037E67" w:rsidP="00824648">
      <w:pPr>
        <w:numPr>
          <w:ilvl w:val="0"/>
          <w:numId w:val="20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037E67" w:rsidRPr="00824648" w:rsidRDefault="00037E67" w:rsidP="00824648">
      <w:pPr>
        <w:numPr>
          <w:ilvl w:val="0"/>
          <w:numId w:val="20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добровольный отказ работника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37E67" w:rsidRPr="00824648" w:rsidRDefault="00037E67" w:rsidP="00824648">
      <w:pPr>
        <w:numPr>
          <w:ilvl w:val="0"/>
          <w:numId w:val="20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пересмотр и изменение функциональных обязанностей работника;</w:t>
      </w:r>
    </w:p>
    <w:p w:rsidR="00037E67" w:rsidRPr="00824648" w:rsidRDefault="00037E67" w:rsidP="00824648">
      <w:pPr>
        <w:numPr>
          <w:ilvl w:val="0"/>
          <w:numId w:val="20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037E67" w:rsidRPr="00824648" w:rsidRDefault="00037E67" w:rsidP="00824648">
      <w:pPr>
        <w:numPr>
          <w:ilvl w:val="0"/>
          <w:numId w:val="20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037E67" w:rsidRPr="00824648" w:rsidRDefault="00037E67" w:rsidP="00824648">
      <w:pPr>
        <w:numPr>
          <w:ilvl w:val="0"/>
          <w:numId w:val="20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037E67" w:rsidRPr="00824648" w:rsidRDefault="00037E67" w:rsidP="00824648">
      <w:pPr>
        <w:numPr>
          <w:ilvl w:val="0"/>
          <w:numId w:val="20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отказ работника от своего личного интереса, порождающего конфликт с интересами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;</w:t>
      </w:r>
    </w:p>
    <w:p w:rsidR="00037E67" w:rsidRPr="00824648" w:rsidRDefault="00037E67" w:rsidP="00824648">
      <w:pPr>
        <w:numPr>
          <w:ilvl w:val="0"/>
          <w:numId w:val="20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увольнение работника из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по инициативе работника;</w:t>
      </w:r>
    </w:p>
    <w:p w:rsidR="00037E67" w:rsidRPr="00824648" w:rsidRDefault="00037E67" w:rsidP="00824648">
      <w:pPr>
        <w:numPr>
          <w:ilvl w:val="0"/>
          <w:numId w:val="20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037E67" w:rsidRPr="00824648" w:rsidRDefault="00681412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       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и работника, раскрывшего сведения о конфликте интересов, могут быть найдены иные формы его урегулирования.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        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lastRenderedPageBreak/>
        <w:t xml:space="preserve">вероятность того, что этот личный интерес будет реализован в ущерб интересам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.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</w:r>
      <w:r w:rsidR="00037E67" w:rsidRPr="00824648">
        <w:rPr>
          <w:rFonts w:ascii="Times New Roman" w:eastAsia="Times New Roman" w:hAnsi="Times New Roman" w:cs="Times New Roman"/>
          <w:i/>
          <w:iCs/>
          <w:color w:val="525252"/>
          <w:sz w:val="24"/>
          <w:szCs w:val="24"/>
        </w:rPr>
        <w:t> 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 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Ответственными за прием сведений о возникающих (имеющихся) конфликтах интересов  являю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тся  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директор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(заместитель директора)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. Рассмотрение полученной информации целесообразно проводить коллегиально.</w:t>
      </w:r>
    </w:p>
    <w:p w:rsidR="00037E67" w:rsidRPr="00824648" w:rsidRDefault="00681412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       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В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должно проводиться </w:t>
      </w:r>
      <w:proofErr w:type="gramStart"/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обучения работников по вопросам</w:t>
      </w:r>
      <w:proofErr w:type="gramEnd"/>
      <w:r w:rsidR="00037E67"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профилактики и противодействия коррупции. Цели и задачи обучения определяют тематику и форму занятий. Обучение  проводится по следующей тематике:</w:t>
      </w:r>
    </w:p>
    <w:p w:rsidR="00037E67" w:rsidRPr="00824648" w:rsidRDefault="00037E67" w:rsidP="00824648">
      <w:pPr>
        <w:numPr>
          <w:ilvl w:val="0"/>
          <w:numId w:val="21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коррупция в государственном и частном секторах экономики (теоретическая);</w:t>
      </w:r>
    </w:p>
    <w:p w:rsidR="00037E67" w:rsidRPr="00824648" w:rsidRDefault="00037E67" w:rsidP="00824648">
      <w:pPr>
        <w:numPr>
          <w:ilvl w:val="0"/>
          <w:numId w:val="21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юридическая ответственность за совершение коррупционных правонарушений;</w:t>
      </w:r>
    </w:p>
    <w:p w:rsidR="00037E67" w:rsidRPr="00824648" w:rsidRDefault="00037E67" w:rsidP="00824648">
      <w:pPr>
        <w:numPr>
          <w:ilvl w:val="0"/>
          <w:numId w:val="21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ознакомление с требованиями законодательства и внутренними документами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по вопросам противодействия коррупции и порядком их применения в деятельности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(</w:t>
      </w:r>
      <w:proofErr w:type="gram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прикладная</w:t>
      </w:r>
      <w:proofErr w:type="gram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);</w:t>
      </w:r>
    </w:p>
    <w:p w:rsidR="00037E67" w:rsidRPr="00824648" w:rsidRDefault="00037E67" w:rsidP="00824648">
      <w:pPr>
        <w:numPr>
          <w:ilvl w:val="0"/>
          <w:numId w:val="21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выявление и разрешение конфликта интересов при выполнении трудовых обязанностей (</w:t>
      </w:r>
      <w:proofErr w:type="gram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прикладная</w:t>
      </w:r>
      <w:proofErr w:type="gram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);</w:t>
      </w:r>
    </w:p>
    <w:p w:rsidR="00037E67" w:rsidRPr="00824648" w:rsidRDefault="00037E67" w:rsidP="00824648">
      <w:pPr>
        <w:numPr>
          <w:ilvl w:val="0"/>
          <w:numId w:val="21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037E67" w:rsidRPr="00824648" w:rsidRDefault="00037E67" w:rsidP="00824648">
      <w:pPr>
        <w:numPr>
          <w:ilvl w:val="0"/>
          <w:numId w:val="21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прикладная</w:t>
      </w:r>
      <w:proofErr w:type="gram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).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Возможны следующие виды обучения:</w:t>
      </w:r>
    </w:p>
    <w:p w:rsidR="00037E67" w:rsidRPr="00824648" w:rsidRDefault="00037E67" w:rsidP="00824648">
      <w:pPr>
        <w:numPr>
          <w:ilvl w:val="0"/>
          <w:numId w:val="22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proofErr w:type="gram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обучение по вопросам</w:t>
      </w:r>
      <w:proofErr w:type="gram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037E67" w:rsidRPr="00824648" w:rsidRDefault="00037E67" w:rsidP="00824648">
      <w:pPr>
        <w:numPr>
          <w:ilvl w:val="0"/>
          <w:numId w:val="22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037E67" w:rsidRPr="00824648" w:rsidRDefault="00037E67" w:rsidP="00824648">
      <w:pPr>
        <w:numPr>
          <w:ilvl w:val="0"/>
          <w:numId w:val="22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периодическое обучение работников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с целью поддержания их знаний и навыков в сфере противодействия коррупции на должном уровне;</w:t>
      </w:r>
    </w:p>
    <w:p w:rsidR="00037E67" w:rsidRPr="00824648" w:rsidRDefault="00037E67" w:rsidP="00824648">
      <w:pPr>
        <w:numPr>
          <w:ilvl w:val="0"/>
          <w:numId w:val="22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дополнительное обучение в случае выявления провалов в реализации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антикоррупционной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037E67" w:rsidRPr="00824648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Консультирование по вопросам противодействия коррупции обычно осуществляется в индивидуальном порядке.</w:t>
      </w:r>
    </w:p>
    <w:p w:rsidR="00037E67" w:rsidRPr="00824648" w:rsidRDefault="00037E67" w:rsidP="004F6E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Федеральным законом от 6 декабря 2011 г. № 402-ФЗ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br/>
        <w:t xml:space="preserve">«О бухгалтерском учете» установлена обязанность для всех организаций </w:t>
      </w:r>
      <w:proofErr w:type="gram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осуществлять</w:t>
      </w:r>
      <w:proofErr w:type="gram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037E67" w:rsidRPr="00824648" w:rsidRDefault="00037E67" w:rsidP="004F6E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Система внутреннего контроля и аудита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Гимназии №2 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может способствовать профилактике и выявлению коррупционных правонарушений в деятельности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и обеспечение соответствия деятельности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требованиям нормативных правовых актов и локальных нормативных актов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. Для этого система внутреннего контроля и аудита должна учитывать требования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антикоррупционной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политики, реализуемой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Гимназией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, в том числе:</w:t>
      </w:r>
    </w:p>
    <w:p w:rsidR="00037E67" w:rsidRPr="00824648" w:rsidRDefault="00037E67" w:rsidP="00824648">
      <w:pPr>
        <w:numPr>
          <w:ilvl w:val="0"/>
          <w:numId w:val="23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037E67" w:rsidRPr="00824648" w:rsidRDefault="00037E67" w:rsidP="00824648">
      <w:pPr>
        <w:numPr>
          <w:ilvl w:val="0"/>
          <w:numId w:val="23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контроль документирования операций хозяйственной деятельности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;</w:t>
      </w:r>
    </w:p>
    <w:p w:rsidR="00037E67" w:rsidRPr="00824648" w:rsidRDefault="00037E67" w:rsidP="00824648">
      <w:pPr>
        <w:numPr>
          <w:ilvl w:val="0"/>
          <w:numId w:val="23"/>
        </w:numPr>
        <w:shd w:val="clear" w:color="auto" w:fill="FFFFFF"/>
        <w:spacing w:after="0" w:line="240" w:lineRule="auto"/>
        <w:ind w:left="0" w:right="250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проверка экономической обоснованности осуществляемых операций в сферах коррупционного риска.</w:t>
      </w:r>
    </w:p>
    <w:p w:rsidR="00037E67" w:rsidRPr="00824648" w:rsidRDefault="00037E67" w:rsidP="004F6E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lastRenderedPageBreak/>
        <w:t xml:space="preserve">Контроль документирования операций хозяйственной </w:t>
      </w:r>
      <w:proofErr w:type="gram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деятельности</w:t>
      </w:r>
      <w:proofErr w:type="gram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прежде всего связан с обязанностью ведения финансовой (бухгалтерской) отчетности </w:t>
      </w:r>
      <w:r w:rsidR="004F6EB6">
        <w:rPr>
          <w:rFonts w:ascii="Times New Roman" w:eastAsia="Times New Roman" w:hAnsi="Times New Roman" w:cs="Times New Roman"/>
          <w:color w:val="525252"/>
          <w:sz w:val="24"/>
          <w:szCs w:val="24"/>
        </w:rPr>
        <w:t>Гимназии №2</w:t>
      </w: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</w:t>
      </w:r>
    </w:p>
    <w:p w:rsidR="00037E67" w:rsidRPr="004F6EB6" w:rsidRDefault="00037E67" w:rsidP="00824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 xml:space="preserve">9.Порядок пересмотра и внесения изменений в </w:t>
      </w:r>
      <w:proofErr w:type="spellStart"/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>антикоррупционную</w:t>
      </w:r>
      <w:proofErr w:type="spellEnd"/>
      <w:r w:rsidRPr="00824648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</w:rPr>
        <w:t xml:space="preserve"> политику </w:t>
      </w:r>
      <w:r w:rsidR="004F6EB6" w:rsidRPr="004F6EB6">
        <w:rPr>
          <w:rFonts w:ascii="Times New Roman" w:eastAsia="Times New Roman" w:hAnsi="Times New Roman" w:cs="Times New Roman"/>
          <w:b/>
          <w:color w:val="525252"/>
          <w:sz w:val="24"/>
          <w:szCs w:val="24"/>
        </w:rPr>
        <w:t>Гимназии №2</w:t>
      </w:r>
    </w:p>
    <w:p w:rsidR="00037E67" w:rsidRPr="00824648" w:rsidRDefault="00037E67" w:rsidP="004F6E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</w:t>
      </w:r>
      <w:proofErr w:type="spellStart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>антикоррупционной</w:t>
      </w:r>
      <w:proofErr w:type="spellEnd"/>
      <w:r w:rsidRPr="00824648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политики может осуществляться путем разработки дополнений и приложений к данному акту.</w:t>
      </w:r>
    </w:p>
    <w:p w:rsidR="006D4833" w:rsidRPr="00824648" w:rsidRDefault="006D4833" w:rsidP="00824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4833" w:rsidRPr="00824648" w:rsidSect="008246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7A33"/>
    <w:multiLevelType w:val="multilevel"/>
    <w:tmpl w:val="84B4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6F166A"/>
    <w:multiLevelType w:val="multilevel"/>
    <w:tmpl w:val="4EBC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D0CAD"/>
    <w:multiLevelType w:val="multilevel"/>
    <w:tmpl w:val="12ACA2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456672"/>
    <w:multiLevelType w:val="multilevel"/>
    <w:tmpl w:val="E220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3400E3"/>
    <w:multiLevelType w:val="multilevel"/>
    <w:tmpl w:val="639E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FF568CF"/>
    <w:multiLevelType w:val="multilevel"/>
    <w:tmpl w:val="113C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672891"/>
    <w:multiLevelType w:val="multilevel"/>
    <w:tmpl w:val="0410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9AB5EF4"/>
    <w:multiLevelType w:val="multilevel"/>
    <w:tmpl w:val="E16C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49D5E6E"/>
    <w:multiLevelType w:val="multilevel"/>
    <w:tmpl w:val="D12C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9487A48"/>
    <w:multiLevelType w:val="multilevel"/>
    <w:tmpl w:val="BB4E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09A4D42"/>
    <w:multiLevelType w:val="multilevel"/>
    <w:tmpl w:val="68AE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1136BCB"/>
    <w:multiLevelType w:val="multilevel"/>
    <w:tmpl w:val="113E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C3B57A5"/>
    <w:multiLevelType w:val="multilevel"/>
    <w:tmpl w:val="5FC6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A10792D"/>
    <w:multiLevelType w:val="multilevel"/>
    <w:tmpl w:val="0DC4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E5719E1"/>
    <w:multiLevelType w:val="multilevel"/>
    <w:tmpl w:val="25EC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0BD2459"/>
    <w:multiLevelType w:val="multilevel"/>
    <w:tmpl w:val="32A8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9C76383"/>
    <w:multiLevelType w:val="multilevel"/>
    <w:tmpl w:val="B23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4F300D9"/>
    <w:multiLevelType w:val="multilevel"/>
    <w:tmpl w:val="E896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2206B2"/>
    <w:multiLevelType w:val="multilevel"/>
    <w:tmpl w:val="0B6E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6593F16"/>
    <w:multiLevelType w:val="multilevel"/>
    <w:tmpl w:val="DC2A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C81525C"/>
    <w:multiLevelType w:val="multilevel"/>
    <w:tmpl w:val="945C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3A727FD"/>
    <w:multiLevelType w:val="multilevel"/>
    <w:tmpl w:val="C096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9F73D73"/>
    <w:multiLevelType w:val="multilevel"/>
    <w:tmpl w:val="40BA82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"/>
  </w:num>
  <w:num w:numId="3">
    <w:abstractNumId w:val="22"/>
  </w:num>
  <w:num w:numId="4">
    <w:abstractNumId w:val="14"/>
  </w:num>
  <w:num w:numId="5">
    <w:abstractNumId w:val="18"/>
  </w:num>
  <w:num w:numId="6">
    <w:abstractNumId w:val="9"/>
  </w:num>
  <w:num w:numId="7">
    <w:abstractNumId w:val="19"/>
  </w:num>
  <w:num w:numId="8">
    <w:abstractNumId w:val="15"/>
  </w:num>
  <w:num w:numId="9">
    <w:abstractNumId w:val="0"/>
  </w:num>
  <w:num w:numId="10">
    <w:abstractNumId w:val="21"/>
  </w:num>
  <w:num w:numId="11">
    <w:abstractNumId w:val="12"/>
  </w:num>
  <w:num w:numId="12">
    <w:abstractNumId w:val="8"/>
  </w:num>
  <w:num w:numId="13">
    <w:abstractNumId w:val="3"/>
  </w:num>
  <w:num w:numId="14">
    <w:abstractNumId w:val="10"/>
  </w:num>
  <w:num w:numId="15">
    <w:abstractNumId w:val="11"/>
  </w:num>
  <w:num w:numId="16">
    <w:abstractNumId w:val="16"/>
  </w:num>
  <w:num w:numId="17">
    <w:abstractNumId w:val="6"/>
  </w:num>
  <w:num w:numId="18">
    <w:abstractNumId w:val="1"/>
  </w:num>
  <w:num w:numId="19">
    <w:abstractNumId w:val="7"/>
  </w:num>
  <w:num w:numId="20">
    <w:abstractNumId w:val="13"/>
  </w:num>
  <w:num w:numId="21">
    <w:abstractNumId w:val="20"/>
  </w:num>
  <w:num w:numId="22">
    <w:abstractNumId w:val="5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37E67"/>
    <w:rsid w:val="00037E67"/>
    <w:rsid w:val="004F6EB6"/>
    <w:rsid w:val="00560C28"/>
    <w:rsid w:val="00681412"/>
    <w:rsid w:val="006D4833"/>
    <w:rsid w:val="00815544"/>
    <w:rsid w:val="00824648"/>
    <w:rsid w:val="00924F3F"/>
    <w:rsid w:val="00945000"/>
    <w:rsid w:val="00981142"/>
    <w:rsid w:val="00C72585"/>
    <w:rsid w:val="00F90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42"/>
  </w:style>
  <w:style w:type="paragraph" w:styleId="2">
    <w:name w:val="heading 2"/>
    <w:basedOn w:val="a"/>
    <w:link w:val="20"/>
    <w:uiPriority w:val="9"/>
    <w:qFormat/>
    <w:rsid w:val="00037E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7E6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37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7E67"/>
    <w:rPr>
      <w:b/>
      <w:bCs/>
    </w:rPr>
  </w:style>
  <w:style w:type="character" w:styleId="a5">
    <w:name w:val="Emphasis"/>
    <w:basedOn w:val="a0"/>
    <w:uiPriority w:val="20"/>
    <w:qFormat/>
    <w:rsid w:val="00037E67"/>
    <w:rPr>
      <w:i/>
      <w:iCs/>
    </w:rPr>
  </w:style>
  <w:style w:type="character" w:styleId="a6">
    <w:name w:val="Hyperlink"/>
    <w:basedOn w:val="a0"/>
    <w:uiPriority w:val="99"/>
    <w:semiHidden/>
    <w:unhideWhenUsed/>
    <w:rsid w:val="00037E6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7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2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1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rn-school103.ucoz.ru/111/2013-2014/komissija_po_uregkl_sporov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3991</Words>
  <Characters>22749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</dc:creator>
  <cp:keywords/>
  <dc:description/>
  <cp:lastModifiedBy>зам ИОП</cp:lastModifiedBy>
  <cp:revision>6</cp:revision>
  <dcterms:created xsi:type="dcterms:W3CDTF">2018-04-25T07:47:00Z</dcterms:created>
  <dcterms:modified xsi:type="dcterms:W3CDTF">2018-04-27T06:49:00Z</dcterms:modified>
</cp:coreProperties>
</file>