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4863"/>
        <w:gridCol w:w="4090"/>
      </w:tblGrid>
      <w:tr w:rsidR="00037E67" w:rsidRPr="00037E67" w:rsidTr="00037E67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7E67" w:rsidRPr="00824648" w:rsidRDefault="00037E67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7E67" w:rsidRPr="00824648" w:rsidRDefault="00037E67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037E67" w:rsidRPr="00824648" w:rsidRDefault="00037E67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37E67" w:rsidRPr="00037E67" w:rsidRDefault="00037E67" w:rsidP="00037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>ПОЛОЖЕНИЕ</w:t>
      </w:r>
    </w:p>
    <w:p w:rsidR="00037E67" w:rsidRPr="00037E67" w:rsidRDefault="00037E67" w:rsidP="00924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об </w:t>
      </w:r>
      <w:proofErr w:type="spellStart"/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>антикоррупционной</w:t>
      </w:r>
      <w:proofErr w:type="spellEnd"/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 политике</w:t>
      </w:r>
      <w:r w:rsidR="00824648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 Гимназии №2</w:t>
      </w:r>
      <w:r w:rsidRPr="00037E67">
        <w:rPr>
          <w:rFonts w:ascii="Times New Roman" w:eastAsia="Times New Roman" w:hAnsi="Times New Roman" w:cs="Times New Roman"/>
          <w:color w:val="525252"/>
          <w:sz w:val="28"/>
          <w:szCs w:val="28"/>
        </w:rPr>
        <w:br/>
        <w:t> </w:t>
      </w:r>
    </w:p>
    <w:p w:rsidR="00924F3F" w:rsidRDefault="00037E67" w:rsidP="00924F3F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Основные положения  внедрения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политики</w:t>
      </w:r>
      <w:proofErr w:type="spellEnd"/>
    </w:p>
    <w:p w:rsidR="00037E67" w:rsidRPr="00824648" w:rsidRDefault="00681412" w:rsidP="00681412">
      <w:pPr>
        <w:shd w:val="clear" w:color="auto" w:fill="FFFFFF"/>
        <w:spacing w:after="0" w:line="240" w:lineRule="auto"/>
        <w:ind w:left="-360" w:right="250" w:firstLine="36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</w:t>
      </w:r>
      <w:proofErr w:type="spellStart"/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Антикоррупционная</w:t>
      </w:r>
      <w:proofErr w:type="spellEnd"/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политика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 Гимназии №2</w:t>
      </w:r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е – Федеральный закон № 273-ФЗ).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 Нормативными актами, регулирующими  </w:t>
      </w:r>
      <w:proofErr w:type="spellStart"/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антикоррупционную</w:t>
      </w:r>
      <w:proofErr w:type="spellEnd"/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политику Гимназии №2, являются также Федеральный з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акон «Об образовании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Российской Федерации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», 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Федеральный</w:t>
      </w:r>
      <w:r w:rsidR="00924F3F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закон «О контрактной системе в сфере закупок товаров, работ, услуг для обеспечения государственных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муниципальных нужд», Устав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proofErr w:type="gramStart"/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 соответствии со ст.13.3  Федерального закона № 273-ФЗ меры по предупреждению корр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упции, принимаемые 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могут включать: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1) определение подразделений или должностных лиц, ответственных за профилактику коррупционных и иных правонарушени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й;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2) сотрудничество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 правоохранительными органами;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3) разработку и внедрение в практику стандартов и процедур, направленных на обеспечение до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бросовестной работы Гимназии №2;</w:t>
      </w:r>
      <w:proofErr w:type="gramEnd"/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4) принятие К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одекса этики и служебного поведения работ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ников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5) предотвращение и урегулирование конфликта интересов;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6) недопущение составления неофициальной отчетности и использования поддельных документов.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proofErr w:type="spellStart"/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Антикоррупционная</w:t>
      </w:r>
      <w:proofErr w:type="spellEnd"/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политика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направлена на реализацию данных мер.</w:t>
      </w:r>
    </w:p>
    <w:p w:rsidR="00F9019F" w:rsidRDefault="00037E67" w:rsidP="00F9019F">
      <w:pPr>
        <w:numPr>
          <w:ilvl w:val="0"/>
          <w:numId w:val="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Используемые в политике понятия и определения</w:t>
      </w:r>
    </w:p>
    <w:p w:rsidR="00037E67" w:rsidRPr="00F9019F" w:rsidRDefault="00F9019F" w:rsidP="00F9019F">
      <w:pPr>
        <w:shd w:val="clear" w:color="auto" w:fill="FFFFFF"/>
        <w:spacing w:after="0" w:line="240" w:lineRule="auto"/>
        <w:ind w:left="-567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Коррупция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«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противодействии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коррупции»).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  Противодействие коррупции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тьи 1 Федерального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а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№ 273-ФЗ):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в) по минимизации и (или) ликвидации последствий коррупционных правонарушений.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Организация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юридическое лицо независимо от формы собственности, организационно-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правовой формы и отраслевой принадлежности.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Контрагент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Взятка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Коммерческий подкуп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Конфликт интересов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(представителем организации) которой он является.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Личная заинтересованность работника (представителя организации)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37E67" w:rsidRPr="00824648" w:rsidRDefault="00037E67" w:rsidP="00824648">
      <w:pPr>
        <w:numPr>
          <w:ilvl w:val="0"/>
          <w:numId w:val="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Основные принципы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  деятельности </w:t>
      </w:r>
      <w:r w:rsidR="00F9019F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Гимназии №2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Системы мер п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ротиводействия коррупции 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основываться на следующих ключевых принципах:</w:t>
      </w:r>
    </w:p>
    <w:p w:rsidR="00037E67" w:rsidRPr="00824648" w:rsidRDefault="00037E67" w:rsidP="00824648">
      <w:pPr>
        <w:numPr>
          <w:ilvl w:val="0"/>
          <w:numId w:val="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соответствия политики организации действующему законодательству и общепринятым нормам.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Соответствие реализуемых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037E67" w:rsidRPr="00824648" w:rsidRDefault="00037E67" w:rsidP="00824648">
      <w:pPr>
        <w:numPr>
          <w:ilvl w:val="0"/>
          <w:numId w:val="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личного примера руководства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37E67" w:rsidRPr="00824648" w:rsidRDefault="00037E67" w:rsidP="00824648">
      <w:pPr>
        <w:numPr>
          <w:ilvl w:val="0"/>
          <w:numId w:val="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вовлеченности работников.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Информированность работников организации о положениях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антикоррупционного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стандартов и процедур.</w:t>
      </w:r>
    </w:p>
    <w:p w:rsidR="00037E67" w:rsidRPr="00824648" w:rsidRDefault="00037E67" w:rsidP="00824648">
      <w:pPr>
        <w:numPr>
          <w:ilvl w:val="0"/>
          <w:numId w:val="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Принцип соразмерности </w:t>
      </w:r>
      <w:proofErr w:type="spellStart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процедур риску коррупции.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37E67" w:rsidRPr="00824648" w:rsidRDefault="00037E67" w:rsidP="00824648">
      <w:pPr>
        <w:numPr>
          <w:ilvl w:val="0"/>
          <w:numId w:val="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Принцип эффективности  </w:t>
      </w:r>
      <w:proofErr w:type="spellStart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процедур.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Применение в организации таких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приносят значимый результат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numPr>
          <w:ilvl w:val="0"/>
          <w:numId w:val="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lastRenderedPageBreak/>
        <w:t>Принцип ответственности и неотвратимости наказания.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политики.</w:t>
      </w:r>
    </w:p>
    <w:p w:rsidR="00037E67" w:rsidRPr="00824648" w:rsidRDefault="00037E67" w:rsidP="00824648">
      <w:pPr>
        <w:numPr>
          <w:ilvl w:val="0"/>
          <w:numId w:val="1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открытости 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стандартах ведения деятельности.</w:t>
      </w:r>
    </w:p>
    <w:p w:rsidR="00037E67" w:rsidRPr="00824648" w:rsidRDefault="00037E67" w:rsidP="00824648">
      <w:pPr>
        <w:numPr>
          <w:ilvl w:val="0"/>
          <w:numId w:val="1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постоянного контроля и регулярного мониторинга.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стандартов и процедур, а также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контроля за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их исполнением.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  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4. Область применения политики и круг лиц, попадающих под ее действие.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Основным кругом лиц, попадающих под действие по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литики, являются работники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и на лица, выполняющие для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работы или предоставляющие услуги на основе гражданско-правовых договоров.  В этом случае соответствующие положения включаются в текст договоров.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5.  О</w:t>
      </w:r>
      <w:r w:rsidR="00F9019F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пределение должностных лиц Гимназии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, ответственных за реализацию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 политики.</w:t>
      </w:r>
    </w:p>
    <w:p w:rsidR="00037E67" w:rsidRPr="00824648" w:rsidRDefault="00F9019F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(заместитель директора)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Его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обязанности  включают в частности: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разработку  локальн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t>ых нормативных актов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направленных на реализацию мер по предупреждению коррупци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и (</w:t>
      </w:r>
      <w:proofErr w:type="spellStart"/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К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одекса этики и служебного поведения работников и т.д.);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проведение контрольных мероприятий, направленных на выявление коррупционных правон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арушений работниками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проведения оценки коррупционных рисков;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работниками, контрагентами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иными лицами;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заполнения и рассмотрения деклараций о конфликте интересов;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роверок деятельности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вопросам предупреждения и противодействия коррупции;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проведение оценки результатов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6.  Определение и закрепление обяза</w:t>
      </w:r>
      <w:r w:rsidR="00560C2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нностей работников в Гимназии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, связанных с предупреждением и противодействием коррупции</w:t>
      </w:r>
    </w:p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язанности работников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связи с предупреждением и противодействием коррупции являются о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бщими для всех сотрудников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Общими обязанностями работников в связи с предупреждением и противодействием коррупции являются следующие: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воздерживаться от совершения и (или) участия в совершении коррупционных правонарушени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й в интересах или от имени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совершить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участвовать в совершении коррупционного правонарушения в интересах или от имени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незамедлительно информировать директора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руководство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 случаях склонения работника к совершению коррупционных правонарушений;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незамедлительно информировать непосредс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твенного директора 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 ставшей известной  информации о случаях совершения коррупционных правонарушений другими работниками, контрагентами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иными лицами;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7. Установление перечня реализуемых  </w:t>
      </w:r>
      <w:r w:rsidR="00560C28" w:rsidRPr="00560C28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мероприятий, стандартов и процедур и  порядок их выполнения (применения)</w:t>
      </w:r>
    </w:p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2786"/>
        <w:gridCol w:w="6167"/>
      </w:tblGrid>
      <w:tr w:rsidR="00037E67" w:rsidRPr="00824648" w:rsidTr="00037E67">
        <w:tc>
          <w:tcPr>
            <w:tcW w:w="288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560C28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К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одекса этики и служебного поведения работников </w:t>
            </w:r>
            <w:r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4F6EB6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П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 о конфликте интересов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наиболее подверженных таким рискам, и разработки соответствующих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ознакомление работников под роспись с приказом, регламентирующим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вопросы предупреждения и противодействия коррупции в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 xml:space="preserve">Гимназии №2 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качестве   приложения к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политике 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ежегодно утверждается план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8. Оценка коррупционных рисков</w:t>
      </w:r>
    </w:p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Целью оценки коррупционных рисков является определение конкретных  процессов и видов деятельности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коррупционных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правонарушений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как в целях получения личной выгоды, так и в целях получения выгоды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681412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 специфике деятельности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681412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Порядок проведения оценки коррупционных рисков: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представить деятельность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виде отдельных  процессов, в каждом из которых выделить составные элементы (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подпроцессы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выделить «критические точки» — для каждого  процесса и определить те элементы (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подпроцессы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для каждого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подпроцесса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— характеристику выгоды или преимущества, которое может быть получено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ее отдельными работниками при совершении «коррупционного правонарушения»;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— должности 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которые являются «ключевыми» для совершения коррупционного правонарушения – участие каких должностных лиц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необходимо, чтобы совершение коррупционного правонарушения стало возможным;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— вероятные формы осуществления коррупционных платежей.</w:t>
      </w:r>
    </w:p>
    <w:p w:rsidR="00037E67" w:rsidRPr="00824648" w:rsidRDefault="00037E67" w:rsidP="00824648">
      <w:pPr>
        <w:numPr>
          <w:ilvl w:val="0"/>
          <w:numId w:val="1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На основании проведенного анализа подготовить «карту коррупционных рисков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» — сводное описание «критических точек» и возможных коррупционных правонарушений.</w:t>
      </w:r>
    </w:p>
    <w:p w:rsidR="00037E67" w:rsidRPr="00824648" w:rsidRDefault="00037E67" w:rsidP="00824648">
      <w:pPr>
        <w:numPr>
          <w:ilvl w:val="0"/>
          <w:numId w:val="1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Разработать комплекс мер по устранению или минимизации коррупционных рисков.</w:t>
      </w:r>
    </w:p>
    <w:p w:rsidR="00037E67" w:rsidRPr="00824648" w:rsidRDefault="00560C28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8. Ответственность  работников Гимназии №2</w:t>
      </w:r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за несоблюдение требований </w:t>
      </w:r>
      <w:proofErr w:type="spellStart"/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политики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Своевременное выявление конфликта интересов в деятельности работников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 целью регулирования и предотвращения конфликта интересов в деятельности своих работников в школе действует </w:t>
      </w:r>
      <w:hyperlink r:id="rId5" w:history="1">
        <w:r w:rsidR="00037E67" w:rsidRPr="00560C28">
          <w:rPr>
            <w:rFonts w:ascii="Times New Roman" w:eastAsia="Times New Roman" w:hAnsi="Times New Roman" w:cs="Times New Roman"/>
            <w:sz w:val="24"/>
            <w:szCs w:val="24"/>
          </w:rPr>
          <w:t>Положение о</w:t>
        </w:r>
      </w:hyperlink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конфликте интересов.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Данное П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оложение – это внутренний документ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ходе выполнения ими трудовых обязанностей.  В него включены следующие аспекты: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цели и задачи Положения о конфликте интересов;</w:t>
      </w:r>
    </w:p>
    <w:p w:rsidR="00037E67" w:rsidRPr="00824648" w:rsidRDefault="004F6EB6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используемые в П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оложении понятия и определения;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кру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 лиц, попадающих под действие П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оложения;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основные принципы управления конфликтом интересов 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порядок раскрытия конфликта интересов работником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и порядок его урегулирования, в том числе возможные способы разрешения возникшего конфликта интересов;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ответственность работников за н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есоблюдение П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оложения о конфликте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="004F6EB6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основу работы по управлению конфликтом интересов 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могут быть положены следующие принципы: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индивидуальное рассмотрение и оценка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репутационных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рисков для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соблюдение баланса интересов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работника при урегулировании конфликта интересов;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– без учета своих личных интересов, интересов своих родственников и друзей;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раскрывать возникший (реальный) или потенциальный конфликт интересов;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содействовать урегулированию возникшего конфликта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 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возможно установление различных видов раскрытия конфликта интересов, в том числе: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при приеме на работу;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добровольный отказ работника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пересмотр и изменение функциональных обязанностей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отказ работника от своего личного интереса, порождающего конфликт с интересами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увольнение работника из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инициативе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вероятность того, что этот личный интерес будет реализован в ущерб интересам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Ответственными за прием сведений о возникающих (имеющихся) конфликтах интересов  являю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тся  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директор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(заместитель директора)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 Рассмотрение полученной информации целесообразно проводить коллегиально.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должно проводиться </w:t>
      </w:r>
      <w:proofErr w:type="gramStart"/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обучения работников по вопросам</w:t>
      </w:r>
      <w:proofErr w:type="gramEnd"/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коррупция в государственном и частном секторах экономики (теоретическая);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юридическая ответственность за совершение коррупционных правонарушений;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ознакомление с требованиями законодательства и внутренними документами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вопросам противодействия коррупции и порядком их применения в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Возможны следующие виды обучения: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обучение по вопросам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периодическое обучение работников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 целью поддержания их знаний и навыков в сфере противодействия коррупции на должном уровне;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Федеральным законом от 6 декабря 2011 г. № 402-ФЗ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осуществлять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Система внутреннего контроля и аудита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может способствовать профилактике и выявлению коррупционных правонарушений в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обеспечение соответствия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требованиям нормативных правовых актов и локальных нормативных актов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Для этого система внутреннего контроля и аудита должна учитывать требования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реализуемой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в том числе: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контроль документирования операций хозяйственной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Контроль документирования операций хозяйственной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деятельности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прежде всего связан с обязанностью ведения финансовой (бухгалтерской) отчетности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037E67" w:rsidRPr="004F6EB6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9.Порядок пересмотра и внесения изменений в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антикоррупционную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политику </w:t>
      </w:r>
      <w:r w:rsidR="004F6EB6" w:rsidRPr="004F6EB6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>Гимназии №2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 может осуществляться путем разработки дополнений и приложений к данному акту.</w:t>
      </w:r>
    </w:p>
    <w:p w:rsidR="006D4833" w:rsidRPr="00824648" w:rsidRDefault="006D4833" w:rsidP="008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833" w:rsidRPr="00824648" w:rsidSect="008246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33"/>
    <w:multiLevelType w:val="multilevel"/>
    <w:tmpl w:val="84B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F166A"/>
    <w:multiLevelType w:val="multilevel"/>
    <w:tmpl w:val="4EBC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D0CAD"/>
    <w:multiLevelType w:val="multilevel"/>
    <w:tmpl w:val="12ACA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56672"/>
    <w:multiLevelType w:val="multilevel"/>
    <w:tmpl w:val="E22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3400E3"/>
    <w:multiLevelType w:val="multilevel"/>
    <w:tmpl w:val="639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F568CF"/>
    <w:multiLevelType w:val="multilevel"/>
    <w:tmpl w:val="113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672891"/>
    <w:multiLevelType w:val="multilevel"/>
    <w:tmpl w:val="041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AB5EF4"/>
    <w:multiLevelType w:val="multilevel"/>
    <w:tmpl w:val="E16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9D5E6E"/>
    <w:multiLevelType w:val="multilevel"/>
    <w:tmpl w:val="D12C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487A48"/>
    <w:multiLevelType w:val="multilevel"/>
    <w:tmpl w:val="BB4E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9A4D42"/>
    <w:multiLevelType w:val="multilevel"/>
    <w:tmpl w:val="68AE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136BCB"/>
    <w:multiLevelType w:val="multilevel"/>
    <w:tmpl w:val="113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3B57A5"/>
    <w:multiLevelType w:val="multilevel"/>
    <w:tmpl w:val="5FC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10792D"/>
    <w:multiLevelType w:val="multilevel"/>
    <w:tmpl w:val="0DC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5719E1"/>
    <w:multiLevelType w:val="multilevel"/>
    <w:tmpl w:val="25EC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BD2459"/>
    <w:multiLevelType w:val="multilevel"/>
    <w:tmpl w:val="32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C76383"/>
    <w:multiLevelType w:val="multilevel"/>
    <w:tmpl w:val="B23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F300D9"/>
    <w:multiLevelType w:val="multilevel"/>
    <w:tmpl w:val="E896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206B2"/>
    <w:multiLevelType w:val="multilevel"/>
    <w:tmpl w:val="0B6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593F16"/>
    <w:multiLevelType w:val="multilevel"/>
    <w:tmpl w:val="DC2A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81525C"/>
    <w:multiLevelType w:val="multilevel"/>
    <w:tmpl w:val="945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A727FD"/>
    <w:multiLevelType w:val="multilevel"/>
    <w:tmpl w:val="C09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F73D73"/>
    <w:multiLevelType w:val="multilevel"/>
    <w:tmpl w:val="40BA8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18"/>
  </w:num>
  <w:num w:numId="6">
    <w:abstractNumId w:val="9"/>
  </w:num>
  <w:num w:numId="7">
    <w:abstractNumId w:val="19"/>
  </w:num>
  <w:num w:numId="8">
    <w:abstractNumId w:val="15"/>
  </w:num>
  <w:num w:numId="9">
    <w:abstractNumId w:val="0"/>
  </w:num>
  <w:num w:numId="10">
    <w:abstractNumId w:val="21"/>
  </w:num>
  <w:num w:numId="11">
    <w:abstractNumId w:val="12"/>
  </w:num>
  <w:num w:numId="12">
    <w:abstractNumId w:val="8"/>
  </w:num>
  <w:num w:numId="13">
    <w:abstractNumId w:val="3"/>
  </w:num>
  <w:num w:numId="14">
    <w:abstractNumId w:val="10"/>
  </w:num>
  <w:num w:numId="15">
    <w:abstractNumId w:val="11"/>
  </w:num>
  <w:num w:numId="16">
    <w:abstractNumId w:val="16"/>
  </w:num>
  <w:num w:numId="17">
    <w:abstractNumId w:val="6"/>
  </w:num>
  <w:num w:numId="18">
    <w:abstractNumId w:val="1"/>
  </w:num>
  <w:num w:numId="19">
    <w:abstractNumId w:val="7"/>
  </w:num>
  <w:num w:numId="20">
    <w:abstractNumId w:val="13"/>
  </w:num>
  <w:num w:numId="21">
    <w:abstractNumId w:val="20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7E67"/>
    <w:rsid w:val="00037E67"/>
    <w:rsid w:val="004F6EB6"/>
    <w:rsid w:val="00560C28"/>
    <w:rsid w:val="00681412"/>
    <w:rsid w:val="006D4833"/>
    <w:rsid w:val="00815544"/>
    <w:rsid w:val="00824648"/>
    <w:rsid w:val="00924F3F"/>
    <w:rsid w:val="00981142"/>
    <w:rsid w:val="00F9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42"/>
  </w:style>
  <w:style w:type="paragraph" w:styleId="2">
    <w:name w:val="heading 2"/>
    <w:basedOn w:val="a"/>
    <w:link w:val="20"/>
    <w:uiPriority w:val="9"/>
    <w:qFormat/>
    <w:rsid w:val="00037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E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3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7E67"/>
    <w:rPr>
      <w:b/>
      <w:bCs/>
    </w:rPr>
  </w:style>
  <w:style w:type="character" w:styleId="a5">
    <w:name w:val="Emphasis"/>
    <w:basedOn w:val="a0"/>
    <w:uiPriority w:val="20"/>
    <w:qFormat/>
    <w:rsid w:val="00037E67"/>
    <w:rPr>
      <w:i/>
      <w:iCs/>
    </w:rPr>
  </w:style>
  <w:style w:type="character" w:styleId="a6">
    <w:name w:val="Hyperlink"/>
    <w:basedOn w:val="a0"/>
    <w:uiPriority w:val="99"/>
    <w:semiHidden/>
    <w:unhideWhenUsed/>
    <w:rsid w:val="00037E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rn-school103.ucoz.ru/111/2013-2014/komissija_po_uregkl_sporov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5</cp:revision>
  <dcterms:created xsi:type="dcterms:W3CDTF">2018-04-25T07:47:00Z</dcterms:created>
  <dcterms:modified xsi:type="dcterms:W3CDTF">2018-04-25T10:02:00Z</dcterms:modified>
</cp:coreProperties>
</file>